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F5" w:rsidRPr="00FF5F40" w:rsidRDefault="00D31DF5" w:rsidP="00F57018">
      <w:pPr>
        <w:widowControl w:val="0"/>
        <w:spacing w:line="312" w:lineRule="auto"/>
        <w:ind w:right="1840"/>
        <w:jc w:val="both"/>
        <w:outlineLvl w:val="0"/>
        <w:rPr>
          <w:rFonts w:ascii="Arial" w:eastAsia="Batang" w:hAnsi="Arial" w:cs="Arial"/>
          <w:bCs/>
          <w:kern w:val="32"/>
          <w:sz w:val="40"/>
          <w:szCs w:val="40"/>
        </w:rPr>
      </w:pPr>
      <w:r>
        <w:rPr>
          <w:rFonts w:ascii="Arial" w:eastAsia="Batang" w:hAnsi="Arial" w:cs="Arial"/>
          <w:kern w:val="32"/>
          <w:sz w:val="40"/>
          <w:szCs w:val="40"/>
        </w:rPr>
        <w:t>SPOROČILO ZA JAVNOST</w:t>
      </w:r>
    </w:p>
    <w:p w:rsidR="003C7E28" w:rsidRPr="003C7E28" w:rsidRDefault="003C7E28" w:rsidP="00F57018">
      <w:pPr>
        <w:spacing w:line="312" w:lineRule="auto"/>
        <w:ind w:right="1840"/>
        <w:jc w:val="both"/>
        <w:rPr>
          <w:rFonts w:ascii="Arial" w:hAnsi="Arial" w:cs="Arial"/>
          <w:b/>
          <w:bCs/>
          <w:sz w:val="36"/>
          <w:szCs w:val="36"/>
        </w:rPr>
      </w:pPr>
    </w:p>
    <w:p w:rsidR="00D31DF5" w:rsidRPr="00A6354F" w:rsidRDefault="00D31DF5" w:rsidP="00F57018">
      <w:pPr>
        <w:keepNext/>
        <w:spacing w:line="312" w:lineRule="auto"/>
        <w:ind w:right="1840"/>
        <w:jc w:val="both"/>
        <w:outlineLvl w:val="7"/>
        <w:rPr>
          <w:rFonts w:ascii="Arial" w:hAnsi="Arial" w:cs="Arial"/>
          <w:b/>
          <w:bCs/>
          <w:sz w:val="36"/>
          <w:szCs w:val="36"/>
          <w:lang w:val="sl-SI"/>
        </w:rPr>
      </w:pPr>
      <w:r w:rsidRPr="00A6354F">
        <w:rPr>
          <w:rFonts w:ascii="Arial" w:hAnsi="Arial" w:cs="Arial"/>
          <w:b/>
          <w:bCs/>
          <w:sz w:val="36"/>
          <w:szCs w:val="36"/>
          <w:lang w:val="sl-SI"/>
        </w:rPr>
        <w:t>Skupina GLS izdala prvo trajnostno poročilo</w:t>
      </w:r>
    </w:p>
    <w:p w:rsidR="00D31DF5" w:rsidRPr="00A6354F" w:rsidRDefault="00D31DF5" w:rsidP="00F57018">
      <w:pPr>
        <w:spacing w:line="312" w:lineRule="auto"/>
        <w:ind w:right="1840"/>
        <w:jc w:val="both"/>
        <w:rPr>
          <w:rFonts w:ascii="Arial" w:hAnsi="Arial" w:cs="Arial"/>
          <w:sz w:val="22"/>
          <w:szCs w:val="22"/>
          <w:lang w:val="sl-SI"/>
        </w:rPr>
      </w:pPr>
    </w:p>
    <w:p w:rsidR="00D31DF5" w:rsidRPr="00A6354F" w:rsidRDefault="00D31DF5" w:rsidP="00F57018">
      <w:pPr>
        <w:spacing w:line="312" w:lineRule="auto"/>
        <w:ind w:right="1840"/>
        <w:jc w:val="both"/>
        <w:rPr>
          <w:rFonts w:ascii="Arial" w:hAnsi="Arial" w:cs="Arial"/>
          <w:b/>
          <w:sz w:val="22"/>
          <w:szCs w:val="22"/>
          <w:lang w:val="sl-SI"/>
        </w:rPr>
      </w:pPr>
      <w:r w:rsidRPr="00A6354F">
        <w:rPr>
          <w:rFonts w:ascii="Arial" w:hAnsi="Arial" w:cs="Arial"/>
          <w:b/>
          <w:bCs/>
          <w:sz w:val="22"/>
          <w:szCs w:val="22"/>
          <w:lang w:val="sl-SI"/>
        </w:rPr>
        <w:t>Amsterdam, 18. februar 2014.</w:t>
      </w:r>
      <w:r w:rsidRPr="00A6354F">
        <w:rPr>
          <w:rFonts w:ascii="Arial" w:hAnsi="Arial" w:cs="Arial"/>
          <w:sz w:val="22"/>
          <w:szCs w:val="22"/>
          <w:lang w:val="sl-SI"/>
        </w:rPr>
        <w:t xml:space="preserve"> </w:t>
      </w:r>
      <w:r w:rsidRPr="00A6354F">
        <w:rPr>
          <w:rFonts w:ascii="Arial" w:hAnsi="Arial" w:cs="Arial"/>
          <w:b/>
          <w:bCs/>
          <w:sz w:val="22"/>
          <w:szCs w:val="22"/>
          <w:lang w:val="sl-SI"/>
        </w:rPr>
        <w:t>Odgovorno ravnanje z ljudmi in okoljem je pomembno načelo skupine GLS.</w:t>
      </w:r>
      <w:r w:rsidRPr="00A6354F">
        <w:rPr>
          <w:rFonts w:ascii="Arial" w:hAnsi="Arial" w:cs="Arial"/>
          <w:sz w:val="22"/>
          <w:szCs w:val="22"/>
          <w:lang w:val="sl-SI"/>
        </w:rPr>
        <w:t xml:space="preserve"> </w:t>
      </w:r>
      <w:r w:rsidRPr="00A6354F">
        <w:rPr>
          <w:rFonts w:ascii="Arial" w:hAnsi="Arial" w:cs="Arial"/>
          <w:b/>
          <w:bCs/>
          <w:sz w:val="22"/>
          <w:szCs w:val="22"/>
          <w:lang w:val="sl-SI"/>
        </w:rPr>
        <w:t>Vseevropski ponudnik storitev paketne dostave je v trajnostnem poročilu, ki je bilo izdano pred kratkim, dokumentiral svojo vključenost v družbo, okoljske dejavnosti in napredek.</w:t>
      </w:r>
    </w:p>
    <w:p w:rsidR="00D31DF5" w:rsidRPr="00A6354F" w:rsidRDefault="00D31DF5" w:rsidP="00F57018">
      <w:pPr>
        <w:spacing w:line="312" w:lineRule="auto"/>
        <w:ind w:right="1840"/>
        <w:jc w:val="both"/>
        <w:rPr>
          <w:rFonts w:ascii="Arial" w:hAnsi="Arial" w:cs="Arial"/>
          <w:sz w:val="22"/>
          <w:szCs w:val="22"/>
          <w:lang w:val="sl-SI"/>
        </w:rPr>
      </w:pPr>
    </w:p>
    <w:p w:rsidR="00D31DF5" w:rsidRPr="00A6354F" w:rsidRDefault="00D31DF5" w:rsidP="00F57018">
      <w:pPr>
        <w:spacing w:line="312" w:lineRule="auto"/>
        <w:ind w:right="1840"/>
        <w:jc w:val="both"/>
        <w:rPr>
          <w:rFonts w:ascii="Arial" w:hAnsi="Arial" w:cs="Arial"/>
          <w:sz w:val="22"/>
          <w:szCs w:val="22"/>
          <w:lang w:val="sl-SI"/>
        </w:rPr>
      </w:pPr>
      <w:r w:rsidRPr="00A6354F">
        <w:rPr>
          <w:rFonts w:ascii="Arial" w:hAnsi="Arial" w:cs="Arial"/>
          <w:sz w:val="22"/>
          <w:szCs w:val="22"/>
          <w:lang w:val="sl-SI"/>
        </w:rPr>
        <w:t>Naravnim virom in podnebju prijazna dostava, ravnanje z okoljem, nagrajeno s certifikatom ISO, in raznolika vključenost v družbo – zadnje poročilo skupine GLS poda obsežne informacije o celoviti trajnostni strategiji podjetja. Mnogi primeri iz prakse ponazarjajo, kako so različna nacionalna podjetja družbeno in ekološko zavedna, hkrati pa tudi povečujejo učinkovitost in pospešujejo rast.</w:t>
      </w:r>
    </w:p>
    <w:p w:rsidR="00D31DF5" w:rsidRPr="00A6354F" w:rsidRDefault="00D31DF5" w:rsidP="00F57018">
      <w:pPr>
        <w:spacing w:line="312" w:lineRule="auto"/>
        <w:ind w:right="1840"/>
        <w:jc w:val="both"/>
        <w:rPr>
          <w:rFonts w:ascii="Arial" w:hAnsi="Arial" w:cs="Arial"/>
          <w:bCs/>
          <w:sz w:val="22"/>
          <w:szCs w:val="22"/>
          <w:lang w:val="sl-SI"/>
        </w:rPr>
      </w:pPr>
    </w:p>
    <w:p w:rsidR="00D31DF5" w:rsidRPr="00A6354F" w:rsidRDefault="00D31DF5" w:rsidP="00F57018">
      <w:pPr>
        <w:spacing w:line="312" w:lineRule="auto"/>
        <w:ind w:right="1840"/>
        <w:jc w:val="both"/>
        <w:rPr>
          <w:rFonts w:ascii="Arial" w:hAnsi="Arial" w:cs="Arial"/>
          <w:bCs/>
          <w:sz w:val="22"/>
          <w:szCs w:val="22"/>
          <w:lang w:val="sl-SI"/>
        </w:rPr>
      </w:pPr>
      <w:r w:rsidRPr="00A6354F">
        <w:rPr>
          <w:rFonts w:ascii="Arial" w:hAnsi="Arial" w:cs="Arial"/>
          <w:sz w:val="22"/>
          <w:szCs w:val="22"/>
          <w:lang w:val="sl-SI"/>
        </w:rPr>
        <w:t xml:space="preserve">Eden od poudarkov je GLS-jeva okoljska pobuda ThinkGreen. GLS si je zadal </w:t>
      </w:r>
      <w:r w:rsidR="000D5954">
        <w:rPr>
          <w:rFonts w:ascii="Arial" w:hAnsi="Arial" w:cs="Arial"/>
          <w:sz w:val="22"/>
          <w:szCs w:val="22"/>
          <w:lang w:val="sl-SI"/>
        </w:rPr>
        <w:t xml:space="preserve">tudi </w:t>
      </w:r>
      <w:r w:rsidRPr="00A6354F">
        <w:rPr>
          <w:rFonts w:ascii="Arial" w:hAnsi="Arial" w:cs="Arial"/>
          <w:sz w:val="22"/>
          <w:szCs w:val="22"/>
          <w:lang w:val="sl-SI"/>
        </w:rPr>
        <w:t xml:space="preserve">okoljske cilje, saj želi spodbujati in nadzirati okoljske dejavnosti v celotni skupini ter meriti njihovo uspešnost. Ponudnik storitev paketne dostave poroča tudi o pobudi ThinkSocial, ki </w:t>
      </w:r>
      <w:r w:rsidR="000D5954">
        <w:rPr>
          <w:rFonts w:ascii="Arial" w:hAnsi="Arial" w:cs="Arial"/>
          <w:sz w:val="22"/>
          <w:szCs w:val="22"/>
          <w:lang w:val="sl-SI"/>
        </w:rPr>
        <w:t>obsega</w:t>
      </w:r>
      <w:r w:rsidR="000D5954" w:rsidRPr="00A6354F">
        <w:rPr>
          <w:rFonts w:ascii="Arial" w:hAnsi="Arial" w:cs="Arial"/>
          <w:sz w:val="22"/>
          <w:szCs w:val="22"/>
          <w:lang w:val="sl-SI"/>
        </w:rPr>
        <w:t xml:space="preserve"> </w:t>
      </w:r>
      <w:r w:rsidRPr="00A6354F">
        <w:rPr>
          <w:rFonts w:ascii="Arial" w:hAnsi="Arial" w:cs="Arial"/>
          <w:sz w:val="22"/>
          <w:szCs w:val="22"/>
          <w:lang w:val="sl-SI"/>
        </w:rPr>
        <w:t xml:space="preserve">vse </w:t>
      </w:r>
      <w:r w:rsidR="000D5954">
        <w:rPr>
          <w:rFonts w:ascii="Arial" w:hAnsi="Arial" w:cs="Arial"/>
          <w:sz w:val="22"/>
          <w:szCs w:val="22"/>
          <w:lang w:val="sl-SI"/>
        </w:rPr>
        <w:t>njegove</w:t>
      </w:r>
      <w:r w:rsidRPr="00A6354F">
        <w:rPr>
          <w:rFonts w:ascii="Arial" w:hAnsi="Arial" w:cs="Arial"/>
          <w:sz w:val="22"/>
          <w:szCs w:val="22"/>
          <w:lang w:val="sl-SI"/>
        </w:rPr>
        <w:t xml:space="preserve"> aktivnosti, povezane s pravičnimi in iskrenimi stiki z javnostjo, osebjem, prevoznimi partnerji in vozniki.</w:t>
      </w:r>
    </w:p>
    <w:p w:rsidR="00D31DF5" w:rsidRPr="00A6354F" w:rsidRDefault="00D31DF5" w:rsidP="00F57018">
      <w:pPr>
        <w:spacing w:line="312" w:lineRule="auto"/>
        <w:ind w:right="1840"/>
        <w:jc w:val="both"/>
        <w:rPr>
          <w:rFonts w:ascii="Arial" w:hAnsi="Arial" w:cs="Arial"/>
          <w:b/>
          <w:bCs/>
          <w:sz w:val="22"/>
          <w:szCs w:val="22"/>
          <w:lang w:val="sl-SI"/>
        </w:rPr>
      </w:pPr>
    </w:p>
    <w:p w:rsidR="00D31DF5" w:rsidRPr="00A6354F" w:rsidRDefault="00D31DF5" w:rsidP="00F57018">
      <w:pPr>
        <w:spacing w:line="312" w:lineRule="auto"/>
        <w:ind w:right="1840"/>
        <w:jc w:val="both"/>
        <w:rPr>
          <w:rFonts w:ascii="Arial" w:hAnsi="Arial" w:cs="Arial"/>
          <w:b/>
          <w:bCs/>
          <w:sz w:val="22"/>
          <w:szCs w:val="22"/>
          <w:lang w:val="sl-SI"/>
        </w:rPr>
      </w:pPr>
      <w:r w:rsidRPr="00A6354F">
        <w:rPr>
          <w:rFonts w:ascii="Arial" w:hAnsi="Arial" w:cs="Arial"/>
          <w:b/>
          <w:bCs/>
          <w:sz w:val="22"/>
          <w:szCs w:val="22"/>
          <w:lang w:val="sl-SI"/>
        </w:rPr>
        <w:t>Izmerljiva skrb za okolje</w:t>
      </w:r>
    </w:p>
    <w:p w:rsidR="00D31DF5" w:rsidRPr="00A6354F" w:rsidRDefault="00D31DF5" w:rsidP="00F57018">
      <w:pPr>
        <w:spacing w:line="312" w:lineRule="auto"/>
        <w:ind w:right="1840"/>
        <w:jc w:val="both"/>
        <w:rPr>
          <w:rFonts w:ascii="Arial" w:hAnsi="Arial" w:cs="Arial"/>
          <w:bCs/>
          <w:sz w:val="22"/>
          <w:szCs w:val="22"/>
          <w:lang w:val="sl-SI"/>
        </w:rPr>
      </w:pPr>
    </w:p>
    <w:p w:rsidR="00D31DF5" w:rsidRPr="00A6354F" w:rsidRDefault="00D31DF5" w:rsidP="00F57018">
      <w:pPr>
        <w:spacing w:line="312" w:lineRule="auto"/>
        <w:ind w:right="1840"/>
        <w:jc w:val="both"/>
        <w:rPr>
          <w:rFonts w:ascii="Arial" w:hAnsi="Arial" w:cs="Arial"/>
          <w:bCs/>
          <w:sz w:val="22"/>
          <w:szCs w:val="22"/>
          <w:lang w:val="sl-SI"/>
        </w:rPr>
      </w:pPr>
      <w:r w:rsidRPr="00A6354F">
        <w:rPr>
          <w:rFonts w:ascii="Arial" w:hAnsi="Arial" w:cs="Arial"/>
          <w:sz w:val="22"/>
          <w:szCs w:val="22"/>
          <w:lang w:val="sl-SI"/>
        </w:rPr>
        <w:t xml:space="preserve">V poglavju o okolju skupina GLS predstavi prve rezultate svojih ukrepov. »V zadnjih dveh poslovnih letih smo uspeli skupne emisije ogljikovega dioksida in ogljikovih ekvivalentov zmanjšati za štiri odstotke, in to kljub večjim količinam dostavljenih paketov,« </w:t>
      </w:r>
      <w:r w:rsidR="000D5954">
        <w:rPr>
          <w:rFonts w:ascii="Arial" w:hAnsi="Arial" w:cs="Arial"/>
          <w:sz w:val="22"/>
          <w:szCs w:val="22"/>
          <w:lang w:val="sl-SI"/>
        </w:rPr>
        <w:t>je povedal</w:t>
      </w:r>
      <w:r w:rsidR="000D5954" w:rsidRPr="00A6354F">
        <w:rPr>
          <w:rFonts w:ascii="Arial" w:hAnsi="Arial" w:cs="Arial"/>
          <w:sz w:val="22"/>
          <w:szCs w:val="22"/>
          <w:lang w:val="sl-SI"/>
        </w:rPr>
        <w:t xml:space="preserve"> </w:t>
      </w:r>
      <w:r w:rsidRPr="00A6354F">
        <w:rPr>
          <w:rFonts w:ascii="Arial" w:hAnsi="Arial" w:cs="Arial"/>
          <w:sz w:val="22"/>
          <w:szCs w:val="22"/>
          <w:lang w:val="sl-SI"/>
        </w:rPr>
        <w:t>Rico Back, predsednik uprave skupine GLS.</w:t>
      </w:r>
    </w:p>
    <w:p w:rsidR="00D31DF5" w:rsidRPr="00A6354F" w:rsidRDefault="00D31DF5" w:rsidP="00F57018">
      <w:pPr>
        <w:spacing w:line="312" w:lineRule="auto"/>
        <w:ind w:right="1840"/>
        <w:jc w:val="both"/>
        <w:rPr>
          <w:rFonts w:ascii="Arial" w:hAnsi="Arial" w:cs="Arial"/>
          <w:bCs/>
          <w:sz w:val="22"/>
          <w:szCs w:val="22"/>
          <w:lang w:val="sl-SI"/>
        </w:rPr>
      </w:pPr>
    </w:p>
    <w:p w:rsidR="00D31DF5" w:rsidRPr="00A6354F" w:rsidRDefault="00D31DF5" w:rsidP="00F57018">
      <w:pPr>
        <w:spacing w:line="312" w:lineRule="auto"/>
        <w:ind w:right="1840"/>
        <w:jc w:val="both"/>
        <w:rPr>
          <w:rFonts w:ascii="Arial" w:hAnsi="Arial" w:cs="Arial"/>
          <w:bCs/>
          <w:sz w:val="22"/>
          <w:szCs w:val="22"/>
          <w:lang w:val="sl-SI"/>
        </w:rPr>
      </w:pPr>
      <w:r w:rsidRPr="00A6354F">
        <w:rPr>
          <w:rFonts w:ascii="Arial" w:hAnsi="Arial" w:cs="Arial"/>
          <w:sz w:val="22"/>
          <w:szCs w:val="22"/>
          <w:lang w:val="sl-SI"/>
        </w:rPr>
        <w:t xml:space="preserve">Zahvaljujoč novim, okolju prijaznim skladiščem, naložbam v učinkovitejše tehnologije in ukrepom za varčevanje z energijo je GLS emisije </w:t>
      </w:r>
      <w:r w:rsidR="000D5954" w:rsidRPr="00A6354F">
        <w:rPr>
          <w:rFonts w:ascii="Arial" w:hAnsi="Arial" w:cs="Arial"/>
          <w:sz w:val="22"/>
          <w:szCs w:val="22"/>
          <w:lang w:val="sl-SI"/>
        </w:rPr>
        <w:t>ogljikovega dioksida</w:t>
      </w:r>
      <w:r w:rsidRPr="00A6354F">
        <w:rPr>
          <w:rFonts w:ascii="Arial" w:hAnsi="Arial" w:cs="Arial"/>
          <w:sz w:val="22"/>
          <w:szCs w:val="22"/>
          <w:lang w:val="sl-SI"/>
        </w:rPr>
        <w:t xml:space="preserve"> iz elektrike in ogrevanja dejansko zmanjšal za 22 odstotkov. Število vozil, ki ustrezajo standardu </w:t>
      </w:r>
      <w:r w:rsidR="000D5954">
        <w:rPr>
          <w:rFonts w:ascii="Arial" w:hAnsi="Arial" w:cs="Arial"/>
          <w:sz w:val="22"/>
          <w:szCs w:val="22"/>
          <w:lang w:val="sl-SI"/>
        </w:rPr>
        <w:t>ev</w:t>
      </w:r>
      <w:r w:rsidRPr="00A6354F">
        <w:rPr>
          <w:rFonts w:ascii="Arial" w:hAnsi="Arial" w:cs="Arial"/>
          <w:sz w:val="22"/>
          <w:szCs w:val="22"/>
          <w:lang w:val="sl-SI"/>
        </w:rPr>
        <w:t>ro 4 ali več, se je prav tako povečalo za osem odstotkov</w:t>
      </w:r>
      <w:r w:rsidR="000D5954">
        <w:rPr>
          <w:rFonts w:ascii="Arial" w:hAnsi="Arial" w:cs="Arial"/>
          <w:sz w:val="22"/>
          <w:szCs w:val="22"/>
          <w:lang w:val="sl-SI"/>
        </w:rPr>
        <w:t>, in sicer</w:t>
      </w:r>
      <w:r w:rsidRPr="00A6354F">
        <w:rPr>
          <w:rFonts w:ascii="Arial" w:hAnsi="Arial" w:cs="Arial"/>
          <w:sz w:val="22"/>
          <w:szCs w:val="22"/>
          <w:lang w:val="sl-SI"/>
        </w:rPr>
        <w:t xml:space="preserve"> na več kot 77 odstotkov.</w:t>
      </w:r>
    </w:p>
    <w:p w:rsidR="00D31DF5" w:rsidRPr="00A6354F" w:rsidRDefault="00D31DF5" w:rsidP="00F57018">
      <w:pPr>
        <w:spacing w:line="312" w:lineRule="auto"/>
        <w:ind w:right="1840"/>
        <w:jc w:val="both"/>
        <w:rPr>
          <w:rFonts w:ascii="Arial" w:hAnsi="Arial" w:cs="Arial"/>
          <w:b/>
          <w:sz w:val="22"/>
          <w:szCs w:val="22"/>
          <w:lang w:val="sl-SI"/>
        </w:rPr>
      </w:pPr>
    </w:p>
    <w:p w:rsidR="00D31DF5" w:rsidRPr="00A6354F" w:rsidRDefault="00D31DF5" w:rsidP="00F57018">
      <w:pPr>
        <w:spacing w:line="312" w:lineRule="auto"/>
        <w:ind w:right="1840"/>
        <w:jc w:val="both"/>
        <w:rPr>
          <w:rFonts w:ascii="Arial" w:hAnsi="Arial" w:cs="Arial"/>
          <w:b/>
          <w:sz w:val="22"/>
          <w:szCs w:val="22"/>
          <w:lang w:val="sl-SI"/>
        </w:rPr>
      </w:pPr>
      <w:r w:rsidRPr="00A6354F">
        <w:rPr>
          <w:rFonts w:ascii="Arial" w:hAnsi="Arial" w:cs="Arial"/>
          <w:b/>
          <w:bCs/>
          <w:sz w:val="22"/>
          <w:szCs w:val="22"/>
          <w:lang w:val="sl-SI"/>
        </w:rPr>
        <w:t>Družbena odgovornost</w:t>
      </w:r>
    </w:p>
    <w:p w:rsidR="00D31DF5" w:rsidRPr="00A6354F" w:rsidRDefault="00D31DF5" w:rsidP="00F57018">
      <w:pPr>
        <w:spacing w:line="312" w:lineRule="auto"/>
        <w:ind w:right="1840"/>
        <w:jc w:val="both"/>
        <w:rPr>
          <w:rFonts w:ascii="Arial" w:hAnsi="Arial" w:cs="Arial"/>
          <w:sz w:val="22"/>
          <w:szCs w:val="22"/>
          <w:lang w:val="sl-SI"/>
        </w:rPr>
      </w:pPr>
    </w:p>
    <w:p w:rsidR="00D31DF5" w:rsidRPr="00A6354F" w:rsidRDefault="00D31DF5" w:rsidP="00F57018">
      <w:pPr>
        <w:spacing w:line="312" w:lineRule="auto"/>
        <w:ind w:right="1840"/>
        <w:jc w:val="both"/>
        <w:rPr>
          <w:rFonts w:ascii="Arial" w:hAnsi="Arial" w:cs="Arial"/>
          <w:sz w:val="22"/>
          <w:szCs w:val="22"/>
          <w:lang w:val="sl-SI"/>
        </w:rPr>
      </w:pPr>
      <w:r w:rsidRPr="00A6354F">
        <w:rPr>
          <w:rFonts w:ascii="Arial" w:hAnsi="Arial" w:cs="Arial"/>
          <w:sz w:val="22"/>
          <w:szCs w:val="22"/>
          <w:lang w:val="sl-SI"/>
        </w:rPr>
        <w:t xml:space="preserve">V poglavju ThinkSocial GLS predstavi najpomembnejše izobraževalne in razvojne ukrepe, ki jih ponuja svojemu osebju. Osredotoči se tudi na podporno sodelovanje s prevoznimi podjetji in njihovimi vozniki, pri katerem </w:t>
      </w:r>
      <w:r w:rsidR="000D5954">
        <w:rPr>
          <w:rFonts w:ascii="Arial" w:hAnsi="Arial" w:cs="Arial"/>
          <w:sz w:val="22"/>
          <w:szCs w:val="22"/>
          <w:lang w:val="sl-SI"/>
        </w:rPr>
        <w:t xml:space="preserve">imajo </w:t>
      </w:r>
      <w:r w:rsidRPr="00A6354F">
        <w:rPr>
          <w:rFonts w:ascii="Arial" w:hAnsi="Arial" w:cs="Arial"/>
          <w:sz w:val="22"/>
          <w:szCs w:val="22"/>
          <w:lang w:val="sl-SI"/>
        </w:rPr>
        <w:t>pomembno vlogo skupne dejavnosti in optimizacije postopkov.</w:t>
      </w:r>
    </w:p>
    <w:p w:rsidR="00D31DF5" w:rsidRPr="00A6354F" w:rsidRDefault="00D31DF5" w:rsidP="00F57018">
      <w:pPr>
        <w:spacing w:line="312" w:lineRule="auto"/>
        <w:ind w:right="1840"/>
        <w:jc w:val="both"/>
        <w:rPr>
          <w:rFonts w:ascii="Arial" w:hAnsi="Arial" w:cs="Arial"/>
          <w:sz w:val="22"/>
          <w:szCs w:val="22"/>
          <w:lang w:val="sl-SI"/>
        </w:rPr>
      </w:pPr>
    </w:p>
    <w:p w:rsidR="00D31DF5" w:rsidRPr="00A6354F" w:rsidRDefault="00D31DF5" w:rsidP="00F57018">
      <w:pPr>
        <w:spacing w:line="312" w:lineRule="auto"/>
        <w:ind w:right="1840"/>
        <w:jc w:val="both"/>
        <w:rPr>
          <w:rFonts w:ascii="Arial" w:hAnsi="Arial" w:cs="Arial"/>
          <w:sz w:val="22"/>
          <w:szCs w:val="22"/>
          <w:lang w:val="sl-SI"/>
        </w:rPr>
      </w:pPr>
      <w:r w:rsidRPr="00A6354F">
        <w:rPr>
          <w:rFonts w:ascii="Arial" w:hAnsi="Arial" w:cs="Arial"/>
          <w:sz w:val="22"/>
          <w:szCs w:val="22"/>
          <w:lang w:val="sl-SI"/>
        </w:rPr>
        <w:lastRenderedPageBreak/>
        <w:t xml:space="preserve">»Če si v družbo vključen bolj, kot zahtevajo družbeni standardi, to pomeni, da razmišljaš za naprej,« </w:t>
      </w:r>
      <w:r w:rsidR="000D5954">
        <w:rPr>
          <w:rFonts w:ascii="Arial" w:hAnsi="Arial" w:cs="Arial"/>
          <w:sz w:val="22"/>
          <w:szCs w:val="22"/>
          <w:lang w:val="sl-SI"/>
        </w:rPr>
        <w:t>je dejal</w:t>
      </w:r>
      <w:r w:rsidRPr="00A6354F">
        <w:rPr>
          <w:rFonts w:ascii="Arial" w:hAnsi="Arial" w:cs="Arial"/>
          <w:sz w:val="22"/>
          <w:szCs w:val="22"/>
          <w:lang w:val="sl-SI"/>
        </w:rPr>
        <w:t xml:space="preserve"> Rico Back. GLS-jeva podjetja so torej dejavna tudi v svojih družbenih okoljih, tako da podpirajo kampanje za zbiranje sredstev, sponzorirajo športne in kulturne prireditve ter ponujajo brezplačne prevozne storitve za dobrodelne namene.</w:t>
      </w:r>
    </w:p>
    <w:p w:rsidR="00D31DF5" w:rsidRPr="00A6354F" w:rsidRDefault="00D31DF5" w:rsidP="00F57018">
      <w:pPr>
        <w:spacing w:line="312" w:lineRule="auto"/>
        <w:ind w:right="1840"/>
        <w:jc w:val="both"/>
        <w:rPr>
          <w:rFonts w:ascii="Arial" w:hAnsi="Arial" w:cs="Arial"/>
          <w:b/>
          <w:bCs/>
          <w:sz w:val="22"/>
          <w:szCs w:val="22"/>
          <w:lang w:val="sl-SI"/>
        </w:rPr>
      </w:pPr>
    </w:p>
    <w:p w:rsidR="00D31DF5" w:rsidRPr="00A6354F" w:rsidRDefault="00D31DF5" w:rsidP="00F57018">
      <w:pPr>
        <w:spacing w:line="312" w:lineRule="auto"/>
        <w:ind w:right="1840"/>
        <w:jc w:val="both"/>
        <w:rPr>
          <w:rFonts w:ascii="Arial" w:hAnsi="Arial" w:cs="Arial"/>
          <w:b/>
          <w:bCs/>
          <w:sz w:val="22"/>
          <w:szCs w:val="22"/>
          <w:lang w:val="sl-SI"/>
        </w:rPr>
      </w:pPr>
      <w:r w:rsidRPr="00A6354F">
        <w:rPr>
          <w:rFonts w:ascii="Arial" w:hAnsi="Arial" w:cs="Arial"/>
          <w:b/>
          <w:bCs/>
          <w:sz w:val="22"/>
          <w:szCs w:val="22"/>
          <w:lang w:val="sl-SI"/>
        </w:rPr>
        <w:t>Redno poročanje</w:t>
      </w:r>
    </w:p>
    <w:p w:rsidR="00D31DF5" w:rsidRPr="00A6354F" w:rsidRDefault="00D31DF5" w:rsidP="00F57018">
      <w:pPr>
        <w:spacing w:line="312" w:lineRule="auto"/>
        <w:ind w:right="1840"/>
        <w:jc w:val="both"/>
        <w:rPr>
          <w:rFonts w:ascii="Arial" w:hAnsi="Arial" w:cs="Arial"/>
          <w:sz w:val="22"/>
          <w:szCs w:val="22"/>
          <w:lang w:val="sl-SI"/>
        </w:rPr>
      </w:pPr>
    </w:p>
    <w:p w:rsidR="00D31DF5" w:rsidRPr="00A6354F" w:rsidRDefault="00D31DF5" w:rsidP="00F57018">
      <w:pPr>
        <w:spacing w:line="312" w:lineRule="auto"/>
        <w:ind w:right="1840"/>
        <w:jc w:val="both"/>
        <w:rPr>
          <w:rFonts w:ascii="Arial" w:hAnsi="Arial" w:cs="Arial"/>
          <w:sz w:val="22"/>
          <w:szCs w:val="22"/>
          <w:lang w:val="sl-SI"/>
        </w:rPr>
      </w:pPr>
      <w:r w:rsidRPr="00A6354F">
        <w:rPr>
          <w:rFonts w:ascii="Arial" w:hAnsi="Arial" w:cs="Arial"/>
          <w:sz w:val="22"/>
          <w:szCs w:val="22"/>
          <w:lang w:val="sl-SI"/>
        </w:rPr>
        <w:t>GLS-jevo trajnostno poročilo pomeni začetek rednega poročanja, ki bo predstavljajo osnovo za stalni dialog s strankami, zaposlenimi, prevoznimi partnerji in javnostjo, podjetje pa bo tako postalo pregledn</w:t>
      </w:r>
      <w:r w:rsidR="000D5954">
        <w:rPr>
          <w:rFonts w:ascii="Arial" w:hAnsi="Arial" w:cs="Arial"/>
          <w:sz w:val="22"/>
          <w:szCs w:val="22"/>
          <w:lang w:val="sl-SI"/>
        </w:rPr>
        <w:t>ejše</w:t>
      </w:r>
      <w:r w:rsidRPr="00A6354F">
        <w:rPr>
          <w:rFonts w:ascii="Arial" w:hAnsi="Arial" w:cs="Arial"/>
          <w:sz w:val="22"/>
          <w:szCs w:val="22"/>
          <w:lang w:val="sl-SI"/>
        </w:rPr>
        <w:t>. Dokument je na voljo na GLS-jevi spletni strani (</w:t>
      </w:r>
      <w:proofErr w:type="spellStart"/>
      <w:r w:rsidR="00976817" w:rsidRPr="00976817">
        <w:fldChar w:fldCharType="begin"/>
      </w:r>
      <w:r w:rsidR="00E665EB">
        <w:instrText xml:space="preserve"> HYPERLINK "http://www.gls-group.eu" </w:instrText>
      </w:r>
      <w:r w:rsidR="00976817" w:rsidRPr="00976817">
        <w:fldChar w:fldCharType="separate"/>
      </w:r>
      <w:r w:rsidRPr="00A6354F">
        <w:rPr>
          <w:rStyle w:val="Hiperpovezava"/>
          <w:rFonts w:ascii="Arial" w:hAnsi="Arial" w:cs="Arial"/>
          <w:sz w:val="22"/>
          <w:szCs w:val="22"/>
          <w:lang w:val="sl-SI"/>
        </w:rPr>
        <w:t>gls</w:t>
      </w:r>
      <w:proofErr w:type="spellEnd"/>
      <w:r w:rsidRPr="00A6354F">
        <w:rPr>
          <w:rStyle w:val="Hiperpovezava"/>
          <w:rFonts w:ascii="Arial" w:hAnsi="Arial" w:cs="Arial"/>
          <w:sz w:val="22"/>
          <w:szCs w:val="22"/>
          <w:lang w:val="sl-SI"/>
        </w:rPr>
        <w:t>-</w:t>
      </w:r>
      <w:proofErr w:type="spellStart"/>
      <w:r w:rsidRPr="00A6354F">
        <w:rPr>
          <w:rStyle w:val="Hiperpovezava"/>
          <w:rFonts w:ascii="Arial" w:hAnsi="Arial" w:cs="Arial"/>
          <w:sz w:val="22"/>
          <w:szCs w:val="22"/>
          <w:lang w:val="sl-SI"/>
        </w:rPr>
        <w:t>group.eu</w:t>
      </w:r>
      <w:proofErr w:type="spellEnd"/>
      <w:r w:rsidR="00976817">
        <w:rPr>
          <w:rStyle w:val="Hiperpovezava"/>
          <w:rFonts w:ascii="Arial" w:hAnsi="Arial" w:cs="Arial"/>
          <w:sz w:val="22"/>
          <w:szCs w:val="22"/>
          <w:lang w:val="sl-SI"/>
        </w:rPr>
        <w:fldChar w:fldCharType="end"/>
      </w:r>
      <w:r w:rsidRPr="00A6354F">
        <w:rPr>
          <w:rFonts w:ascii="Arial" w:hAnsi="Arial" w:cs="Arial"/>
          <w:sz w:val="22"/>
          <w:szCs w:val="22"/>
          <w:lang w:val="sl-SI"/>
        </w:rPr>
        <w:t>).</w:t>
      </w:r>
    </w:p>
    <w:p w:rsidR="003C7E28" w:rsidRPr="00A6354F" w:rsidRDefault="003C7E28" w:rsidP="00F57018">
      <w:pPr>
        <w:spacing w:after="200" w:line="276" w:lineRule="auto"/>
        <w:ind w:right="1840"/>
        <w:jc w:val="both"/>
        <w:rPr>
          <w:rFonts w:ascii="Arial" w:eastAsia="Calibri" w:hAnsi="Arial" w:cs="Arial"/>
          <w:bCs/>
          <w:sz w:val="20"/>
          <w:szCs w:val="20"/>
          <w:lang w:val="sl-SI"/>
        </w:rPr>
      </w:pPr>
    </w:p>
    <w:p w:rsidR="003C7E28" w:rsidRPr="00A6354F" w:rsidRDefault="003C7E28" w:rsidP="00F57018">
      <w:pPr>
        <w:spacing w:after="200" w:line="276" w:lineRule="auto"/>
        <w:ind w:right="1840"/>
        <w:jc w:val="both"/>
        <w:rPr>
          <w:rFonts w:ascii="Arial" w:eastAsia="Calibri" w:hAnsi="Arial" w:cs="Arial"/>
          <w:bCs/>
          <w:sz w:val="20"/>
          <w:szCs w:val="20"/>
          <w:lang w:val="sl-SI"/>
        </w:rPr>
      </w:pPr>
    </w:p>
    <w:p w:rsidR="003C7E28" w:rsidRPr="00A6354F" w:rsidRDefault="003C7E28" w:rsidP="00F57018">
      <w:pPr>
        <w:spacing w:after="200" w:line="276" w:lineRule="auto"/>
        <w:ind w:right="1840"/>
        <w:jc w:val="both"/>
        <w:rPr>
          <w:rFonts w:ascii="Arial" w:eastAsia="Calibri" w:hAnsi="Arial" w:cs="Arial"/>
          <w:bCs/>
          <w:sz w:val="22"/>
          <w:szCs w:val="22"/>
          <w:lang w:val="sl-SI"/>
        </w:rPr>
      </w:pPr>
      <w:r w:rsidRPr="00A6354F">
        <w:rPr>
          <w:rFonts w:ascii="Arial" w:eastAsia="Calibri" w:hAnsi="Arial" w:cs="Arial"/>
          <w:b/>
          <w:bCs/>
          <w:i/>
          <w:iCs/>
          <w:sz w:val="22"/>
          <w:szCs w:val="22"/>
          <w:lang w:val="sl-SI"/>
        </w:rPr>
        <w:t>Skupina GLS v Evropi</w:t>
      </w:r>
      <w:r w:rsidRPr="00A6354F">
        <w:rPr>
          <w:rFonts w:ascii="Arial" w:eastAsia="Calibri" w:hAnsi="Arial" w:cs="Arial"/>
          <w:sz w:val="22"/>
          <w:szCs w:val="22"/>
          <w:lang w:val="sl-SI"/>
        </w:rPr>
        <w:t xml:space="preserve"> </w:t>
      </w:r>
    </w:p>
    <w:p w:rsidR="003C7E28" w:rsidRPr="00A6354F" w:rsidRDefault="003C7E28" w:rsidP="00F57018">
      <w:pPr>
        <w:spacing w:after="200" w:line="276" w:lineRule="auto"/>
        <w:ind w:right="1840"/>
        <w:jc w:val="both"/>
        <w:rPr>
          <w:rFonts w:ascii="Arial" w:eastAsia="Calibri" w:hAnsi="Arial" w:cs="Arial"/>
          <w:bCs/>
          <w:sz w:val="22"/>
          <w:szCs w:val="22"/>
          <w:u w:val="single"/>
          <w:lang w:val="sl-SI"/>
        </w:rPr>
      </w:pPr>
      <w:r w:rsidRPr="00A6354F">
        <w:rPr>
          <w:rFonts w:ascii="Arial" w:eastAsia="Calibri" w:hAnsi="Arial" w:cs="Arial"/>
          <w:sz w:val="20"/>
          <w:szCs w:val="20"/>
          <w:lang w:val="sl-SI"/>
        </w:rPr>
        <w:t>GLS, General Logistics Systems</w:t>
      </w:r>
      <w:r w:rsidR="000D5954">
        <w:rPr>
          <w:rFonts w:ascii="Arial" w:eastAsia="Calibri" w:hAnsi="Arial" w:cs="Arial"/>
          <w:sz w:val="20"/>
          <w:szCs w:val="20"/>
          <w:lang w:val="sl-SI"/>
        </w:rPr>
        <w:t>,</w:t>
      </w:r>
      <w:r w:rsidRPr="00A6354F">
        <w:rPr>
          <w:rFonts w:ascii="Arial" w:eastAsia="Calibri" w:hAnsi="Arial" w:cs="Arial"/>
          <w:sz w:val="20"/>
          <w:szCs w:val="20"/>
          <w:lang w:val="sl-SI"/>
        </w:rPr>
        <w:t xml:space="preserve"> B.</w:t>
      </w:r>
      <w:r w:rsidR="000D5954">
        <w:rPr>
          <w:rFonts w:ascii="Arial" w:eastAsia="Calibri" w:hAnsi="Arial" w:cs="Arial"/>
          <w:sz w:val="20"/>
          <w:szCs w:val="20"/>
          <w:lang w:val="sl-SI"/>
        </w:rPr>
        <w:t xml:space="preserve"> </w:t>
      </w:r>
      <w:r w:rsidRPr="00A6354F">
        <w:rPr>
          <w:rFonts w:ascii="Arial" w:eastAsia="Calibri" w:hAnsi="Arial" w:cs="Arial"/>
          <w:sz w:val="20"/>
          <w:szCs w:val="20"/>
          <w:lang w:val="sl-SI"/>
        </w:rPr>
        <w:t>V.</w:t>
      </w:r>
      <w:r w:rsidR="000D5954">
        <w:rPr>
          <w:rFonts w:ascii="Arial" w:eastAsia="Calibri" w:hAnsi="Arial" w:cs="Arial"/>
          <w:sz w:val="20"/>
          <w:szCs w:val="20"/>
          <w:lang w:val="sl-SI"/>
        </w:rPr>
        <w:t>,</w:t>
      </w:r>
      <w:r w:rsidRPr="00A6354F">
        <w:rPr>
          <w:rFonts w:ascii="Arial" w:eastAsia="Calibri" w:hAnsi="Arial" w:cs="Arial"/>
          <w:sz w:val="20"/>
          <w:szCs w:val="20"/>
          <w:lang w:val="sl-SI"/>
        </w:rPr>
        <w:t xml:space="preserve"> (s sedežem v Amsterdamu), več kot 220.000 strankam v Evropi ponuja zanesljive in visokok</w:t>
      </w:r>
      <w:r w:rsidR="000D5954">
        <w:rPr>
          <w:rFonts w:ascii="Arial" w:eastAsia="Calibri" w:hAnsi="Arial" w:cs="Arial"/>
          <w:sz w:val="20"/>
          <w:szCs w:val="20"/>
          <w:lang w:val="sl-SI"/>
        </w:rPr>
        <w:t>akovostn</w:t>
      </w:r>
      <w:r w:rsidRPr="00A6354F">
        <w:rPr>
          <w:rFonts w:ascii="Arial" w:eastAsia="Calibri" w:hAnsi="Arial" w:cs="Arial"/>
          <w:sz w:val="20"/>
          <w:szCs w:val="20"/>
          <w:lang w:val="sl-SI"/>
        </w:rPr>
        <w:t>e storitve paketne dostave, ki jih dopolnjujejo lo</w:t>
      </w:r>
      <w:bookmarkStart w:id="0" w:name="_GoBack"/>
      <w:bookmarkEnd w:id="0"/>
      <w:r w:rsidRPr="00A6354F">
        <w:rPr>
          <w:rFonts w:ascii="Arial" w:eastAsia="Calibri" w:hAnsi="Arial" w:cs="Arial"/>
          <w:sz w:val="20"/>
          <w:szCs w:val="20"/>
          <w:lang w:val="sl-SI"/>
        </w:rPr>
        <w:t xml:space="preserve">gistične in ekspresne storitve. Vodilno načelo skupine </w:t>
      </w:r>
      <w:r w:rsidR="000D5954">
        <w:rPr>
          <w:rFonts w:ascii="Arial" w:eastAsia="Calibri" w:hAnsi="Arial" w:cs="Arial"/>
          <w:sz w:val="20"/>
          <w:szCs w:val="20"/>
          <w:lang w:val="sl-SI"/>
        </w:rPr>
        <w:t>je postati</w:t>
      </w:r>
      <w:r w:rsidRPr="00A6354F">
        <w:rPr>
          <w:rFonts w:ascii="Arial" w:eastAsia="Calibri" w:hAnsi="Arial" w:cs="Arial"/>
          <w:sz w:val="20"/>
          <w:szCs w:val="20"/>
          <w:lang w:val="sl-SI"/>
        </w:rPr>
        <w:t xml:space="preserve"> »najk</w:t>
      </w:r>
      <w:r w:rsidR="000D5954">
        <w:rPr>
          <w:rFonts w:ascii="Arial" w:eastAsia="Calibri" w:hAnsi="Arial" w:cs="Arial"/>
          <w:sz w:val="20"/>
          <w:szCs w:val="20"/>
          <w:lang w:val="sl-SI"/>
        </w:rPr>
        <w:t>akovostnejši</w:t>
      </w:r>
      <w:r w:rsidRPr="00A6354F">
        <w:rPr>
          <w:rFonts w:ascii="Arial" w:eastAsia="Calibri" w:hAnsi="Arial" w:cs="Arial"/>
          <w:sz w:val="20"/>
          <w:szCs w:val="20"/>
          <w:lang w:val="sl-SI"/>
        </w:rPr>
        <w:t xml:space="preserve"> ponudnik paketne logistike v Evropi«. V tem duhu je trajnost za GLS izrednega pomena: njihova vseevropska pobuda ThinkGreen združuje dejavnosti za varovanje okolja. Skupina z lastnimi in partnerskimi podjetji </w:t>
      </w:r>
      <w:r w:rsidR="00835B22">
        <w:rPr>
          <w:rFonts w:ascii="Arial" w:eastAsia="Calibri" w:hAnsi="Arial" w:cs="Arial"/>
          <w:sz w:val="20"/>
          <w:szCs w:val="20"/>
          <w:lang w:val="sl-SI"/>
        </w:rPr>
        <w:t>zajema</w:t>
      </w:r>
      <w:r w:rsidR="00835B22" w:rsidRPr="00A6354F">
        <w:rPr>
          <w:rFonts w:ascii="Arial" w:eastAsia="Calibri" w:hAnsi="Arial" w:cs="Arial"/>
          <w:sz w:val="20"/>
          <w:szCs w:val="20"/>
          <w:lang w:val="sl-SI"/>
        </w:rPr>
        <w:t xml:space="preserve"> </w:t>
      </w:r>
      <w:r w:rsidRPr="00A6354F">
        <w:rPr>
          <w:rFonts w:ascii="Arial" w:eastAsia="Calibri" w:hAnsi="Arial" w:cs="Arial"/>
          <w:sz w:val="20"/>
          <w:szCs w:val="20"/>
          <w:lang w:val="sl-SI"/>
        </w:rPr>
        <w:t>mrežo 37 evropskih držav in je globalno prisotna prek pogodbenih dogovorov. GLS razpolaga s 37 središči za pretovarjanje blaga in 667 skladišči. S svojo mrežo predstavlja enega od vodilnih ponudnikov storitev paketne dostave v Evropi. Približno 14.000 zaposlenih na leto obdela 380 milijonov paketov</w:t>
      </w:r>
      <w:r w:rsidR="00B4162D">
        <w:rPr>
          <w:rFonts w:ascii="Arial" w:eastAsia="Calibri" w:hAnsi="Arial" w:cs="Arial"/>
          <w:sz w:val="20"/>
          <w:szCs w:val="20"/>
          <w:lang w:val="sl-SI"/>
        </w:rPr>
        <w:t>,</w:t>
      </w:r>
      <w:r w:rsidRPr="00A6354F">
        <w:rPr>
          <w:rFonts w:ascii="Arial" w:eastAsia="Calibri" w:hAnsi="Arial" w:cs="Arial"/>
          <w:sz w:val="20"/>
          <w:szCs w:val="20"/>
          <w:lang w:val="sl-SI"/>
        </w:rPr>
        <w:t xml:space="preserve"> </w:t>
      </w:r>
      <w:r w:rsidR="00B4162D">
        <w:rPr>
          <w:rFonts w:ascii="Arial" w:eastAsia="Calibri" w:hAnsi="Arial" w:cs="Arial"/>
          <w:sz w:val="20"/>
          <w:szCs w:val="20"/>
          <w:lang w:val="sl-SI"/>
        </w:rPr>
        <w:t>v</w:t>
      </w:r>
      <w:r w:rsidRPr="00A6354F">
        <w:rPr>
          <w:rFonts w:ascii="Arial" w:eastAsia="Calibri" w:hAnsi="Arial" w:cs="Arial"/>
          <w:sz w:val="20"/>
          <w:szCs w:val="20"/>
          <w:lang w:val="sl-SI"/>
        </w:rPr>
        <w:t xml:space="preserve">sak dan </w:t>
      </w:r>
      <w:r w:rsidR="00B4162D">
        <w:rPr>
          <w:rFonts w:ascii="Arial" w:eastAsia="Calibri" w:hAnsi="Arial" w:cs="Arial"/>
          <w:sz w:val="20"/>
          <w:szCs w:val="20"/>
          <w:lang w:val="sl-SI"/>
        </w:rPr>
        <w:t xml:space="preserve">pa </w:t>
      </w:r>
      <w:r w:rsidRPr="00A6354F">
        <w:rPr>
          <w:rFonts w:ascii="Arial" w:eastAsia="Calibri" w:hAnsi="Arial" w:cs="Arial"/>
          <w:sz w:val="20"/>
          <w:szCs w:val="20"/>
          <w:lang w:val="sl-SI"/>
        </w:rPr>
        <w:t xml:space="preserve">je na cesti </w:t>
      </w:r>
      <w:r w:rsidR="00B4162D">
        <w:rPr>
          <w:rFonts w:ascii="Arial" w:eastAsia="Calibri" w:hAnsi="Arial" w:cs="Arial"/>
          <w:sz w:val="20"/>
          <w:szCs w:val="20"/>
          <w:lang w:val="sl-SI"/>
        </w:rPr>
        <w:t>kar</w:t>
      </w:r>
      <w:r w:rsidR="00835B22">
        <w:rPr>
          <w:rFonts w:ascii="Arial" w:eastAsia="Calibri" w:hAnsi="Arial" w:cs="Arial"/>
          <w:sz w:val="20"/>
          <w:szCs w:val="20"/>
          <w:lang w:val="sl-SI"/>
        </w:rPr>
        <w:t xml:space="preserve"> </w:t>
      </w:r>
      <w:r w:rsidRPr="00A6354F">
        <w:rPr>
          <w:rFonts w:ascii="Arial" w:eastAsia="Calibri" w:hAnsi="Arial" w:cs="Arial"/>
          <w:sz w:val="20"/>
          <w:szCs w:val="20"/>
          <w:lang w:val="sl-SI"/>
        </w:rPr>
        <w:t xml:space="preserve">18.000 </w:t>
      </w:r>
      <w:r w:rsidR="00835B22">
        <w:rPr>
          <w:rFonts w:ascii="Arial" w:eastAsia="Calibri" w:hAnsi="Arial" w:cs="Arial"/>
          <w:sz w:val="20"/>
          <w:szCs w:val="20"/>
          <w:lang w:val="sl-SI"/>
        </w:rPr>
        <w:t xml:space="preserve">njihovih dostavnih </w:t>
      </w:r>
      <w:r w:rsidRPr="00A6354F">
        <w:rPr>
          <w:rFonts w:ascii="Arial" w:eastAsia="Calibri" w:hAnsi="Arial" w:cs="Arial"/>
          <w:sz w:val="20"/>
          <w:szCs w:val="20"/>
          <w:lang w:val="sl-SI"/>
        </w:rPr>
        <w:t>vozil. V poslovnem letu 2012/13 je GLS ustvaril 1,84 milijarde evrov prihodkov.</w:t>
      </w:r>
      <w:r w:rsidRPr="00A6354F">
        <w:rPr>
          <w:rFonts w:ascii="Arial" w:eastAsia="Calibri" w:hAnsi="Arial" w:cs="Arial"/>
          <w:sz w:val="20"/>
          <w:szCs w:val="20"/>
          <w:lang w:val="sl-SI"/>
        </w:rPr>
        <w:br/>
      </w:r>
    </w:p>
    <w:sectPr w:rsidR="003C7E28" w:rsidRPr="00A6354F" w:rsidSect="00EE452B">
      <w:headerReference w:type="default" r:id="rId8"/>
      <w:headerReference w:type="first" r:id="rId9"/>
      <w:footerReference w:type="first" r:id="rId10"/>
      <w:pgSz w:w="11906" w:h="16838" w:code="9"/>
      <w:pgMar w:top="2268" w:right="851" w:bottom="426" w:left="1418" w:header="1134"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7A" w:rsidRDefault="0047037A">
      <w:r>
        <w:separator/>
      </w:r>
    </w:p>
  </w:endnote>
  <w:endnote w:type="continuationSeparator" w:id="0">
    <w:p w:rsidR="0047037A" w:rsidRDefault="004703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LS Logos V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BF" w:rsidRDefault="005B28BF">
    <w:pPr>
      <w:pStyle w:val="Noga"/>
      <w:tabs>
        <w:tab w:val="left" w:pos="7200"/>
      </w:tabs>
    </w:pPr>
  </w:p>
  <w:p w:rsidR="005B28BF" w:rsidRDefault="005B28BF">
    <w:pPr>
      <w:pStyle w:val="Noga"/>
    </w:pPr>
  </w:p>
  <w:p w:rsidR="005B28BF" w:rsidRDefault="005B28B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7A" w:rsidRDefault="0047037A">
      <w:r>
        <w:separator/>
      </w:r>
    </w:p>
  </w:footnote>
  <w:footnote w:type="continuationSeparator" w:id="0">
    <w:p w:rsidR="0047037A" w:rsidRDefault="00470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BF" w:rsidRDefault="005B28BF" w:rsidP="00194798">
    <w:pPr>
      <w:pStyle w:val="Glava"/>
      <w:ind w:left="720"/>
    </w:pPr>
    <w:r>
      <w:rPr>
        <w:noProof/>
        <w:lang w:val="sl-SI" w:eastAsia="sl-SI"/>
      </w:rPr>
      <w:drawing>
        <wp:anchor distT="0" distB="0" distL="114300" distR="114300" simplePos="0" relativeHeight="251658240" behindDoc="0" locked="0" layoutInCell="1" allowOverlap="1">
          <wp:simplePos x="0" y="0"/>
          <wp:positionH relativeFrom="column">
            <wp:posOffset>-718185</wp:posOffset>
          </wp:positionH>
          <wp:positionV relativeFrom="paragraph">
            <wp:posOffset>-501015</wp:posOffset>
          </wp:positionV>
          <wp:extent cx="7211060" cy="909320"/>
          <wp:effectExtent l="0" t="0" r="8890" b="5080"/>
          <wp:wrapNone/>
          <wp:docPr id="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anchor>
      </w:drawing>
    </w:r>
    <w:r w:rsidR="00976817">
      <w:rPr>
        <w:noProof/>
        <w:lang w:val="sl-SI" w:eastAsia="sl-SI"/>
      </w:rPr>
      <w:pict>
        <v:shapetype id="_x0000_t32" coordsize="21600,21600" o:spt="32" o:oned="t" path="m,l21600,21600e" filled="f">
          <v:path arrowok="t" fillok="f" o:connecttype="none"/>
          <o:lock v:ext="edit" shapetype="t"/>
        </v:shapetype>
        <v:shape id="AutoShape 2" o:spid="_x0000_s6145" type="#_x0000_t32" style="position:absolute;left:0;text-align:left;margin-left:-56.6pt;margin-top:-38.65pt;width:.15pt;height:0;flip:x;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BF" w:rsidRDefault="005B28BF">
    <w:pPr>
      <w:framePr w:w="2118" w:h="751" w:hRule="exact" w:hSpace="181" w:wrap="around" w:vAnchor="page" w:hAnchor="page" w:x="1427" w:y="1128"/>
      <w:rPr>
        <w:sz w:val="12"/>
      </w:rPr>
    </w:pPr>
    <w:r>
      <w:rPr>
        <w:sz w:val="12"/>
      </w:rPr>
      <w:t>Skladišče xx Ime skladišča</w:t>
    </w:r>
  </w:p>
  <w:p w:rsidR="005B28BF" w:rsidRDefault="005B28BF">
    <w:pPr>
      <w:framePr w:w="2118" w:h="751" w:hRule="exact" w:hSpace="181" w:wrap="around" w:vAnchor="page" w:hAnchor="page" w:x="1427" w:y="1128"/>
      <w:rPr>
        <w:sz w:val="12"/>
      </w:rPr>
    </w:pPr>
    <w:r>
      <w:rPr>
        <w:sz w:val="12"/>
      </w:rPr>
      <w:t xml:space="preserve">Straße </w:t>
    </w:r>
  </w:p>
  <w:p w:rsidR="005B28BF" w:rsidRDefault="005B28BF">
    <w:pPr>
      <w:framePr w:w="2118" w:h="751" w:hRule="exact" w:hSpace="181" w:wrap="around" w:vAnchor="page" w:hAnchor="page" w:x="1427" w:y="1128"/>
      <w:rPr>
        <w:sz w:val="12"/>
      </w:rPr>
    </w:pPr>
    <w:r>
      <w:rPr>
        <w:sz w:val="12"/>
      </w:rPr>
      <w:t>PLZ Ort</w:t>
    </w:r>
  </w:p>
  <w:p w:rsidR="005B28BF" w:rsidRDefault="005B28BF">
    <w:pPr>
      <w:pStyle w:val="Napis"/>
      <w:framePr w:w="2118" w:h="751" w:hRule="exact" w:hSpace="181" w:wrap="around" w:x="1427" w:y="1128"/>
      <w:spacing w:line="240" w:lineRule="auto"/>
      <w:rPr>
        <w:b w:val="0"/>
        <w:spacing w:val="0"/>
        <w:sz w:val="12"/>
      </w:rPr>
    </w:pPr>
    <w:r>
      <w:rPr>
        <w:b w:val="0"/>
        <w:bCs w:val="0"/>
        <w:sz w:val="12"/>
      </w:rPr>
      <w:t xml:space="preserve">Telefon +49 (0) xx xx xx </w:t>
    </w:r>
  </w:p>
  <w:p w:rsidR="005B28BF" w:rsidRDefault="005B28BF">
    <w:pPr>
      <w:framePr w:w="2118" w:h="751" w:hRule="exact" w:hSpace="181" w:wrap="around" w:vAnchor="page" w:hAnchor="page" w:x="1427" w:y="1128"/>
      <w:tabs>
        <w:tab w:val="left" w:pos="851"/>
      </w:tabs>
      <w:rPr>
        <w:sz w:val="12"/>
      </w:rPr>
    </w:pPr>
    <w:r>
      <w:rPr>
        <w:sz w:val="12"/>
      </w:rPr>
      <w:t>Faks +49 (0) xx xx xx</w:t>
    </w:r>
  </w:p>
  <w:p w:rsidR="005B28BF" w:rsidRPr="00A651AD" w:rsidRDefault="005B28BF">
    <w:pPr>
      <w:pStyle w:val="Glava"/>
      <w:rPr>
        <w:sz w:val="24"/>
      </w:rPr>
    </w:pPr>
    <w:r>
      <w:rPr>
        <w:noProof/>
        <w:sz w:val="24"/>
        <w:lang w:val="sl-SI" w:eastAsia="sl-SI"/>
      </w:rPr>
      <w:drawing>
        <wp:anchor distT="0" distB="0" distL="114300" distR="114300" simplePos="0" relativeHeight="251656192" behindDoc="0" locked="0" layoutInCell="1" allowOverlap="1">
          <wp:simplePos x="0" y="0"/>
          <wp:positionH relativeFrom="column">
            <wp:posOffset>-824865</wp:posOffset>
          </wp:positionH>
          <wp:positionV relativeFrom="paragraph">
            <wp:posOffset>-520700</wp:posOffset>
          </wp:positionV>
          <wp:extent cx="7635240" cy="10796905"/>
          <wp:effectExtent l="0" t="0" r="3810" b="4445"/>
          <wp:wrapNone/>
          <wp:docPr id="1"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3">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9">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8"/>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noPunctuationKerning/>
  <w:characterSpacingControl w:val="doNotCompress"/>
  <w:hdrShapeDefaults>
    <o:shapedefaults v:ext="edit" spidmax="10242">
      <o:colormru v:ext="edit" colors="#172154"/>
    </o:shapedefaults>
    <o:shapelayout v:ext="edit">
      <o:idmap v:ext="edit" data="6"/>
      <o:rules v:ext="edit">
        <o:r id="V:Rule2" type="connector" idref="#AutoShape 2"/>
      </o:rules>
    </o:shapelayout>
  </w:hdrShapeDefaults>
  <w:footnotePr>
    <w:footnote w:id="-1"/>
    <w:footnote w:id="0"/>
  </w:footnotePr>
  <w:endnotePr>
    <w:endnote w:id="-1"/>
    <w:endnote w:id="0"/>
  </w:endnotePr>
  <w:compat/>
  <w:rsids>
    <w:rsidRoot w:val="00D31DF5"/>
    <w:rsid w:val="00002D2F"/>
    <w:rsid w:val="0001053F"/>
    <w:rsid w:val="00035284"/>
    <w:rsid w:val="00057187"/>
    <w:rsid w:val="000829E9"/>
    <w:rsid w:val="00085CEA"/>
    <w:rsid w:val="00087EA7"/>
    <w:rsid w:val="00096787"/>
    <w:rsid w:val="000A561F"/>
    <w:rsid w:val="000A6B6F"/>
    <w:rsid w:val="000D4504"/>
    <w:rsid w:val="000D5954"/>
    <w:rsid w:val="000E1F9C"/>
    <w:rsid w:val="000E2F28"/>
    <w:rsid w:val="000F4097"/>
    <w:rsid w:val="00104FCE"/>
    <w:rsid w:val="00140DBA"/>
    <w:rsid w:val="00156821"/>
    <w:rsid w:val="001579C1"/>
    <w:rsid w:val="00161D64"/>
    <w:rsid w:val="00171802"/>
    <w:rsid w:val="0018231A"/>
    <w:rsid w:val="00194798"/>
    <w:rsid w:val="001A2B88"/>
    <w:rsid w:val="001B0167"/>
    <w:rsid w:val="001B46B4"/>
    <w:rsid w:val="001C4723"/>
    <w:rsid w:val="001D2253"/>
    <w:rsid w:val="001D2ABB"/>
    <w:rsid w:val="001F1EA4"/>
    <w:rsid w:val="00205F1D"/>
    <w:rsid w:val="0021054E"/>
    <w:rsid w:val="00254307"/>
    <w:rsid w:val="00257648"/>
    <w:rsid w:val="002739C1"/>
    <w:rsid w:val="002741EC"/>
    <w:rsid w:val="002B1E97"/>
    <w:rsid w:val="00352966"/>
    <w:rsid w:val="0036005E"/>
    <w:rsid w:val="003750E2"/>
    <w:rsid w:val="003C7E28"/>
    <w:rsid w:val="003F2369"/>
    <w:rsid w:val="0046119A"/>
    <w:rsid w:val="0047037A"/>
    <w:rsid w:val="00480E7F"/>
    <w:rsid w:val="00483E0B"/>
    <w:rsid w:val="004E59E2"/>
    <w:rsid w:val="004E6CAF"/>
    <w:rsid w:val="00501DD5"/>
    <w:rsid w:val="00504B53"/>
    <w:rsid w:val="00507885"/>
    <w:rsid w:val="00523921"/>
    <w:rsid w:val="005557C0"/>
    <w:rsid w:val="005773EF"/>
    <w:rsid w:val="00580B1D"/>
    <w:rsid w:val="005A2F18"/>
    <w:rsid w:val="005A4751"/>
    <w:rsid w:val="005B28BF"/>
    <w:rsid w:val="005F22EA"/>
    <w:rsid w:val="00637B00"/>
    <w:rsid w:val="00642E92"/>
    <w:rsid w:val="00661D02"/>
    <w:rsid w:val="00663E9F"/>
    <w:rsid w:val="00684B2F"/>
    <w:rsid w:val="006D3DFB"/>
    <w:rsid w:val="006E4674"/>
    <w:rsid w:val="00711B1C"/>
    <w:rsid w:val="00730207"/>
    <w:rsid w:val="00731839"/>
    <w:rsid w:val="00736FEF"/>
    <w:rsid w:val="007405D2"/>
    <w:rsid w:val="00771E36"/>
    <w:rsid w:val="007A69F1"/>
    <w:rsid w:val="007D6A8D"/>
    <w:rsid w:val="00813CC5"/>
    <w:rsid w:val="008174F9"/>
    <w:rsid w:val="00835B22"/>
    <w:rsid w:val="008A3A55"/>
    <w:rsid w:val="008D34C9"/>
    <w:rsid w:val="008E6665"/>
    <w:rsid w:val="00903021"/>
    <w:rsid w:val="009170BF"/>
    <w:rsid w:val="00923DEE"/>
    <w:rsid w:val="00976817"/>
    <w:rsid w:val="009A0C10"/>
    <w:rsid w:val="009D1967"/>
    <w:rsid w:val="00A00CE1"/>
    <w:rsid w:val="00A07D45"/>
    <w:rsid w:val="00A231EA"/>
    <w:rsid w:val="00A30C63"/>
    <w:rsid w:val="00A618B1"/>
    <w:rsid w:val="00A6354F"/>
    <w:rsid w:val="00A651AD"/>
    <w:rsid w:val="00AA11F2"/>
    <w:rsid w:val="00AA1E8B"/>
    <w:rsid w:val="00AA735B"/>
    <w:rsid w:val="00AA7728"/>
    <w:rsid w:val="00AC3FE9"/>
    <w:rsid w:val="00AD09FC"/>
    <w:rsid w:val="00AF5DC8"/>
    <w:rsid w:val="00B07EE3"/>
    <w:rsid w:val="00B21B9C"/>
    <w:rsid w:val="00B31DFA"/>
    <w:rsid w:val="00B414D9"/>
    <w:rsid w:val="00B4162D"/>
    <w:rsid w:val="00B41902"/>
    <w:rsid w:val="00B56D10"/>
    <w:rsid w:val="00B711D4"/>
    <w:rsid w:val="00BA476D"/>
    <w:rsid w:val="00BE3D6E"/>
    <w:rsid w:val="00C30CFE"/>
    <w:rsid w:val="00C3680B"/>
    <w:rsid w:val="00C46BBF"/>
    <w:rsid w:val="00CA2290"/>
    <w:rsid w:val="00CC24C8"/>
    <w:rsid w:val="00CD5392"/>
    <w:rsid w:val="00D31DF5"/>
    <w:rsid w:val="00D47493"/>
    <w:rsid w:val="00DA27D1"/>
    <w:rsid w:val="00E64BAD"/>
    <w:rsid w:val="00E665EB"/>
    <w:rsid w:val="00E725D2"/>
    <w:rsid w:val="00E81896"/>
    <w:rsid w:val="00EA0160"/>
    <w:rsid w:val="00EA4CFF"/>
    <w:rsid w:val="00ED27C4"/>
    <w:rsid w:val="00EE452B"/>
    <w:rsid w:val="00F31F9A"/>
    <w:rsid w:val="00F472A3"/>
    <w:rsid w:val="00F57018"/>
    <w:rsid w:val="00F6376D"/>
    <w:rsid w:val="00F86B6F"/>
    <w:rsid w:val="00FB1028"/>
    <w:rsid w:val="00FC3EFF"/>
    <w:rsid w:val="00FD468A"/>
    <w:rsid w:val="00FF35B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17215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1DF5"/>
    <w:rPr>
      <w:sz w:val="24"/>
      <w:szCs w:val="24"/>
    </w:rPr>
  </w:style>
  <w:style w:type="paragraph" w:styleId="Naslov1">
    <w:name w:val="heading 1"/>
    <w:basedOn w:val="Navaden"/>
    <w:next w:val="Navaden"/>
    <w:qFormat/>
    <w:rsid w:val="000829E9"/>
    <w:pPr>
      <w:keepNext/>
      <w:spacing w:before="240" w:after="240"/>
      <w:outlineLvl w:val="0"/>
    </w:pPr>
    <w:rPr>
      <w:rFonts w:ascii="Arial" w:hAnsi="Arial" w:cs="Arial"/>
      <w:b/>
      <w:bCs/>
      <w:kern w:val="32"/>
      <w:sz w:val="40"/>
      <w:szCs w:val="32"/>
      <w:lang w:eastAsia="en-US"/>
    </w:rPr>
  </w:style>
  <w:style w:type="paragraph" w:styleId="Naslov2">
    <w:name w:val="heading 2"/>
    <w:basedOn w:val="Navaden"/>
    <w:next w:val="Navaden"/>
    <w:qFormat/>
    <w:rsid w:val="00171802"/>
    <w:pPr>
      <w:keepNext/>
      <w:spacing w:before="240" w:after="60" w:line="280" w:lineRule="exact"/>
      <w:outlineLvl w:val="1"/>
    </w:pPr>
    <w:rPr>
      <w:rFonts w:ascii="Arial" w:hAnsi="Arial" w:cs="Arial"/>
      <w:b/>
      <w:bCs/>
      <w:sz w:val="22"/>
      <w:szCs w:val="28"/>
      <w:lang w:eastAsia="en-US"/>
    </w:rPr>
  </w:style>
  <w:style w:type="paragraph" w:styleId="Naslov3">
    <w:name w:val="heading 3"/>
    <w:basedOn w:val="Navaden"/>
    <w:next w:val="Navaden"/>
    <w:qFormat/>
    <w:rsid w:val="00171802"/>
    <w:pPr>
      <w:keepNext/>
      <w:spacing w:before="240" w:after="60" w:line="280" w:lineRule="exact"/>
      <w:outlineLvl w:val="2"/>
    </w:pPr>
    <w:rPr>
      <w:rFonts w:ascii="Arial" w:hAnsi="Arial" w:cs="Arial"/>
      <w:b/>
      <w:bCs/>
      <w:sz w:val="16"/>
      <w:szCs w:val="26"/>
      <w:lang w:eastAsia="en-US"/>
    </w:rPr>
  </w:style>
  <w:style w:type="paragraph" w:styleId="Naslov4">
    <w:name w:val="heading 4"/>
    <w:basedOn w:val="Navaden"/>
    <w:next w:val="Navaden"/>
    <w:qFormat/>
    <w:rsid w:val="00171802"/>
    <w:pPr>
      <w:keepNext/>
      <w:spacing w:line="280" w:lineRule="exact"/>
      <w:outlineLvl w:val="3"/>
    </w:pPr>
    <w:rPr>
      <w:rFonts w:ascii="Arial" w:hAnsi="Arial" w:cs="Arial"/>
      <w:b/>
      <w:bCs/>
      <w:sz w:val="15"/>
      <w:lang w:eastAsia="en-US"/>
    </w:rPr>
  </w:style>
  <w:style w:type="paragraph" w:styleId="Naslov6">
    <w:name w:val="heading 6"/>
    <w:basedOn w:val="Navaden"/>
    <w:next w:val="Navaden"/>
    <w:qFormat/>
    <w:rsid w:val="00171802"/>
    <w:pPr>
      <w:keepNext/>
      <w:spacing w:before="40" w:line="280" w:lineRule="exact"/>
      <w:ind w:right="-142"/>
      <w:outlineLvl w:val="5"/>
    </w:pPr>
    <w:rPr>
      <w:rFonts w:ascii="Arial" w:hAnsi="Arial"/>
      <w:b/>
      <w:sz w:val="16"/>
      <w:szCs w:val="20"/>
      <w:lang w:val="nl-NL" w:eastAsia="en-US"/>
    </w:rPr>
  </w:style>
  <w:style w:type="paragraph" w:styleId="Naslov9">
    <w:name w:val="heading 9"/>
    <w:basedOn w:val="Navaden"/>
    <w:next w:val="Navaden"/>
    <w:qFormat/>
    <w:rsid w:val="00171802"/>
    <w:pPr>
      <w:keepNext/>
      <w:framePr w:wrap="around" w:vAnchor="text" w:hAnchor="page" w:x="8977" w:y="160"/>
      <w:spacing w:line="280" w:lineRule="exact"/>
      <w:outlineLvl w:val="8"/>
    </w:pPr>
    <w:rPr>
      <w:rFonts w:ascii="GLS Logos VL" w:hAnsi="GLS Logos VL"/>
      <w:sz w:val="124"/>
      <w:szCs w:val="20"/>
      <w:lang w:val="nl-NL"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171802"/>
    <w:pPr>
      <w:tabs>
        <w:tab w:val="center" w:pos="4536"/>
        <w:tab w:val="right" w:pos="9072"/>
      </w:tabs>
      <w:spacing w:line="280" w:lineRule="exact"/>
    </w:pPr>
    <w:rPr>
      <w:rFonts w:ascii="Arial" w:hAnsi="Arial"/>
      <w:sz w:val="22"/>
      <w:szCs w:val="20"/>
      <w:lang w:val="nl-NL" w:eastAsia="en-US"/>
    </w:rPr>
  </w:style>
  <w:style w:type="paragraph" w:styleId="Noga">
    <w:name w:val="footer"/>
    <w:basedOn w:val="Navaden"/>
    <w:rsid w:val="00171802"/>
    <w:pPr>
      <w:tabs>
        <w:tab w:val="center" w:pos="4153"/>
        <w:tab w:val="right" w:pos="8306"/>
      </w:tabs>
      <w:spacing w:line="280" w:lineRule="exact"/>
    </w:pPr>
    <w:rPr>
      <w:rFonts w:ascii="Arial" w:hAnsi="Arial"/>
      <w:sz w:val="22"/>
      <w:lang w:eastAsia="en-US"/>
    </w:rPr>
  </w:style>
  <w:style w:type="character" w:styleId="tevilkastrani">
    <w:name w:val="page number"/>
    <w:basedOn w:val="Privzetapisavaodstavka"/>
    <w:rsid w:val="00171802"/>
  </w:style>
  <w:style w:type="paragraph" w:styleId="Napis">
    <w:name w:val="caption"/>
    <w:basedOn w:val="Navaden"/>
    <w:next w:val="Navaden"/>
    <w:qFormat/>
    <w:rsid w:val="00171802"/>
    <w:pPr>
      <w:framePr w:w="2340" w:h="3060" w:hSpace="180" w:wrap="around" w:vAnchor="page" w:hAnchor="page" w:x="8618" w:y="2268"/>
      <w:tabs>
        <w:tab w:val="left" w:pos="851"/>
      </w:tabs>
      <w:spacing w:line="228" w:lineRule="exact"/>
    </w:pPr>
    <w:rPr>
      <w:rFonts w:ascii="Arial" w:hAnsi="Arial"/>
      <w:b/>
      <w:bCs/>
      <w:spacing w:val="10"/>
      <w:sz w:val="14"/>
      <w:lang w:eastAsia="en-US"/>
    </w:rPr>
  </w:style>
  <w:style w:type="paragraph" w:styleId="Telobesedila-zamik2">
    <w:name w:val="Body Text Indent 2"/>
    <w:basedOn w:val="Navaden"/>
    <w:rsid w:val="00171802"/>
    <w:pPr>
      <w:ind w:left="1701" w:hanging="1701"/>
    </w:pPr>
    <w:rPr>
      <w:rFonts w:ascii="Arial" w:hAnsi="Arial"/>
      <w:sz w:val="22"/>
      <w:lang w:eastAsia="en-US"/>
    </w:rPr>
  </w:style>
  <w:style w:type="paragraph" w:styleId="Besedilooblaka">
    <w:name w:val="Balloon Text"/>
    <w:basedOn w:val="Navaden"/>
    <w:semiHidden/>
    <w:rsid w:val="00A651AD"/>
    <w:pPr>
      <w:spacing w:line="280" w:lineRule="exact"/>
    </w:pPr>
    <w:rPr>
      <w:rFonts w:ascii="Tahoma" w:hAnsi="Tahoma" w:cs="Tahoma"/>
      <w:sz w:val="16"/>
      <w:szCs w:val="16"/>
      <w:lang w:eastAsia="en-US"/>
    </w:rPr>
  </w:style>
  <w:style w:type="character" w:styleId="Hiperpovezava">
    <w:name w:val="Hyperlink"/>
    <w:uiPriority w:val="99"/>
    <w:rsid w:val="00352966"/>
    <w:rPr>
      <w:color w:val="0000FF"/>
      <w:u w:val="single"/>
    </w:rPr>
  </w:style>
  <w:style w:type="character" w:styleId="Komentar-sklic">
    <w:name w:val="annotation reference"/>
    <w:basedOn w:val="Privzetapisavaodstavka"/>
    <w:uiPriority w:val="99"/>
    <w:semiHidden/>
    <w:unhideWhenUsed/>
    <w:rsid w:val="000D5954"/>
    <w:rPr>
      <w:sz w:val="16"/>
      <w:szCs w:val="16"/>
    </w:rPr>
  </w:style>
  <w:style w:type="paragraph" w:styleId="Komentar-besedilo">
    <w:name w:val="annotation text"/>
    <w:basedOn w:val="Navaden"/>
    <w:link w:val="Komentar-besediloZnak"/>
    <w:uiPriority w:val="99"/>
    <w:semiHidden/>
    <w:unhideWhenUsed/>
    <w:rsid w:val="000D5954"/>
    <w:rPr>
      <w:sz w:val="20"/>
      <w:szCs w:val="20"/>
    </w:rPr>
  </w:style>
  <w:style w:type="character" w:customStyle="1" w:styleId="Komentar-besediloZnak">
    <w:name w:val="Komentar - besedilo Znak"/>
    <w:basedOn w:val="Privzetapisavaodstavka"/>
    <w:link w:val="Komentar-besedilo"/>
    <w:uiPriority w:val="99"/>
    <w:semiHidden/>
    <w:rsid w:val="000D5954"/>
  </w:style>
  <w:style w:type="paragraph" w:styleId="Zadevakomentarja">
    <w:name w:val="annotation subject"/>
    <w:basedOn w:val="Komentar-besedilo"/>
    <w:next w:val="Komentar-besedilo"/>
    <w:link w:val="ZadevakomentarjaZnak"/>
    <w:uiPriority w:val="99"/>
    <w:semiHidden/>
    <w:unhideWhenUsed/>
    <w:rsid w:val="000D5954"/>
    <w:rPr>
      <w:b/>
      <w:bCs/>
    </w:rPr>
  </w:style>
  <w:style w:type="character" w:customStyle="1" w:styleId="ZadevakomentarjaZnak">
    <w:name w:val="Zadeva komentarja Znak"/>
    <w:basedOn w:val="Komentar-besediloZnak"/>
    <w:link w:val="Zadevakomentarja"/>
    <w:uiPriority w:val="99"/>
    <w:semiHidden/>
    <w:rsid w:val="000D59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1DF5"/>
    <w:rPr>
      <w:sz w:val="24"/>
      <w:szCs w:val="24"/>
    </w:rPr>
  </w:style>
  <w:style w:type="paragraph" w:styleId="Naslov1">
    <w:name w:val="heading 1"/>
    <w:basedOn w:val="Navaden"/>
    <w:next w:val="Navaden"/>
    <w:qFormat/>
    <w:rsid w:val="000829E9"/>
    <w:pPr>
      <w:keepNext/>
      <w:spacing w:before="240" w:after="240"/>
      <w:outlineLvl w:val="0"/>
    </w:pPr>
    <w:rPr>
      <w:rFonts w:ascii="Arial" w:hAnsi="Arial" w:cs="Arial"/>
      <w:b/>
      <w:bCs/>
      <w:kern w:val="32"/>
      <w:sz w:val="40"/>
      <w:szCs w:val="32"/>
      <w:lang w:eastAsia="en-US"/>
    </w:rPr>
  </w:style>
  <w:style w:type="paragraph" w:styleId="Naslov2">
    <w:name w:val="heading 2"/>
    <w:basedOn w:val="Navaden"/>
    <w:next w:val="Navaden"/>
    <w:qFormat/>
    <w:pPr>
      <w:keepNext/>
      <w:spacing w:before="240" w:after="60" w:line="280" w:lineRule="exact"/>
      <w:outlineLvl w:val="1"/>
    </w:pPr>
    <w:rPr>
      <w:rFonts w:ascii="Arial" w:hAnsi="Arial" w:cs="Arial"/>
      <w:b/>
      <w:bCs/>
      <w:sz w:val="22"/>
      <w:szCs w:val="28"/>
      <w:lang w:eastAsia="en-US"/>
    </w:rPr>
  </w:style>
  <w:style w:type="paragraph" w:styleId="Naslov3">
    <w:name w:val="heading 3"/>
    <w:basedOn w:val="Navaden"/>
    <w:next w:val="Navaden"/>
    <w:qFormat/>
    <w:pPr>
      <w:keepNext/>
      <w:spacing w:before="240" w:after="60" w:line="280" w:lineRule="exact"/>
      <w:outlineLvl w:val="2"/>
    </w:pPr>
    <w:rPr>
      <w:rFonts w:ascii="Arial" w:hAnsi="Arial" w:cs="Arial"/>
      <w:b/>
      <w:bCs/>
      <w:sz w:val="16"/>
      <w:szCs w:val="26"/>
      <w:lang w:eastAsia="en-US"/>
    </w:rPr>
  </w:style>
  <w:style w:type="paragraph" w:styleId="Naslov4">
    <w:name w:val="heading 4"/>
    <w:basedOn w:val="Navaden"/>
    <w:next w:val="Navaden"/>
    <w:qFormat/>
    <w:pPr>
      <w:keepNext/>
      <w:spacing w:line="280" w:lineRule="exact"/>
      <w:outlineLvl w:val="3"/>
    </w:pPr>
    <w:rPr>
      <w:rFonts w:ascii="Arial" w:hAnsi="Arial" w:cs="Arial"/>
      <w:b/>
      <w:bCs/>
      <w:sz w:val="15"/>
      <w:lang w:eastAsia="en-US"/>
    </w:rPr>
  </w:style>
  <w:style w:type="paragraph" w:styleId="Naslov6">
    <w:name w:val="heading 6"/>
    <w:basedOn w:val="Navaden"/>
    <w:next w:val="Navaden"/>
    <w:qFormat/>
    <w:pPr>
      <w:keepNext/>
      <w:spacing w:before="40" w:line="280" w:lineRule="exact"/>
      <w:ind w:right="-142"/>
      <w:outlineLvl w:val="5"/>
    </w:pPr>
    <w:rPr>
      <w:rFonts w:ascii="Arial" w:hAnsi="Arial"/>
      <w:b/>
      <w:sz w:val="16"/>
      <w:szCs w:val="20"/>
      <w:lang w:val="nl-NL" w:eastAsia="en-US"/>
    </w:rPr>
  </w:style>
  <w:style w:type="paragraph" w:styleId="Naslov9">
    <w:name w:val="heading 9"/>
    <w:basedOn w:val="Navaden"/>
    <w:next w:val="Navaden"/>
    <w:qFormat/>
    <w:pPr>
      <w:keepNext/>
      <w:framePr w:wrap="around" w:vAnchor="text" w:hAnchor="page" w:x="8977" w:y="160"/>
      <w:spacing w:line="280" w:lineRule="exact"/>
      <w:outlineLvl w:val="8"/>
    </w:pPr>
    <w:rPr>
      <w:rFonts w:ascii="GLS Logos VL" w:hAnsi="GLS Logos VL"/>
      <w:sz w:val="124"/>
      <w:szCs w:val="20"/>
      <w:lang w:val="nl-NL"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spacing w:line="280" w:lineRule="exact"/>
    </w:pPr>
    <w:rPr>
      <w:rFonts w:ascii="Arial" w:hAnsi="Arial"/>
      <w:sz w:val="22"/>
      <w:szCs w:val="20"/>
      <w:lang w:val="nl-NL" w:eastAsia="en-US"/>
    </w:rPr>
  </w:style>
  <w:style w:type="paragraph" w:styleId="Noga">
    <w:name w:val="footer"/>
    <w:basedOn w:val="Navaden"/>
    <w:pPr>
      <w:tabs>
        <w:tab w:val="center" w:pos="4153"/>
        <w:tab w:val="right" w:pos="8306"/>
      </w:tabs>
      <w:spacing w:line="280" w:lineRule="exact"/>
    </w:pPr>
    <w:rPr>
      <w:rFonts w:ascii="Arial" w:hAnsi="Arial"/>
      <w:sz w:val="22"/>
      <w:lang w:eastAsia="en-US"/>
    </w:rPr>
  </w:style>
  <w:style w:type="character" w:styleId="tevilkastrani">
    <w:name w:val="page number"/>
    <w:basedOn w:val="Privzetapisavaodstavka"/>
  </w:style>
  <w:style w:type="paragraph" w:styleId="Napis">
    <w:name w:val="caption"/>
    <w:basedOn w:val="Navaden"/>
    <w:next w:val="Navaden"/>
    <w:qFormat/>
    <w:pPr>
      <w:framePr w:w="2340" w:h="3060" w:hSpace="180" w:wrap="around" w:vAnchor="page" w:hAnchor="page" w:x="8618" w:y="2268"/>
      <w:tabs>
        <w:tab w:val="left" w:pos="851"/>
      </w:tabs>
      <w:spacing w:line="228" w:lineRule="exact"/>
    </w:pPr>
    <w:rPr>
      <w:rFonts w:ascii="Arial" w:hAnsi="Arial"/>
      <w:b/>
      <w:bCs/>
      <w:spacing w:val="10"/>
      <w:sz w:val="14"/>
      <w:lang w:eastAsia="en-US"/>
    </w:rPr>
  </w:style>
  <w:style w:type="paragraph" w:styleId="Telobesedila-zamik2">
    <w:name w:val="Body Text Indent 2"/>
    <w:basedOn w:val="Navaden"/>
    <w:pPr>
      <w:ind w:left="1701" w:hanging="1701"/>
    </w:pPr>
    <w:rPr>
      <w:rFonts w:ascii="Arial" w:hAnsi="Arial"/>
      <w:sz w:val="22"/>
      <w:lang w:eastAsia="en-US"/>
    </w:rPr>
  </w:style>
  <w:style w:type="paragraph" w:styleId="Besedilooblaka">
    <w:name w:val="Balloon Text"/>
    <w:basedOn w:val="Navaden"/>
    <w:semiHidden/>
    <w:rsid w:val="00A651AD"/>
    <w:pPr>
      <w:spacing w:line="280" w:lineRule="exact"/>
    </w:pPr>
    <w:rPr>
      <w:rFonts w:ascii="Tahoma" w:hAnsi="Tahoma" w:cs="Tahoma"/>
      <w:sz w:val="16"/>
      <w:szCs w:val="16"/>
      <w:lang w:eastAsia="en-US"/>
    </w:rPr>
  </w:style>
  <w:style w:type="character" w:styleId="Hiperpovezava">
    <w:name w:val="Hyperlink"/>
    <w:uiPriority w:val="99"/>
    <w:rsid w:val="00352966"/>
    <w:rPr>
      <w:color w:val="0000FF"/>
      <w:u w:val="single"/>
    </w:rPr>
  </w:style>
  <w:style w:type="character" w:styleId="Pripombasklic">
    <w:name w:val="annotation reference"/>
    <w:basedOn w:val="Privzetapisavaodstavka"/>
    <w:uiPriority w:val="99"/>
    <w:semiHidden/>
    <w:unhideWhenUsed/>
    <w:rsid w:val="000D5954"/>
    <w:rPr>
      <w:sz w:val="16"/>
      <w:szCs w:val="16"/>
    </w:rPr>
  </w:style>
  <w:style w:type="paragraph" w:styleId="Pripombabesedilo">
    <w:name w:val="annotation text"/>
    <w:basedOn w:val="Navaden"/>
    <w:link w:val="PripombabesediloZnak"/>
    <w:uiPriority w:val="99"/>
    <w:semiHidden/>
    <w:unhideWhenUsed/>
    <w:rsid w:val="000D5954"/>
    <w:rPr>
      <w:sz w:val="20"/>
      <w:szCs w:val="20"/>
    </w:rPr>
  </w:style>
  <w:style w:type="character" w:customStyle="1" w:styleId="PripombabesediloZnak">
    <w:name w:val="Pripomba – besedilo Znak"/>
    <w:basedOn w:val="Privzetapisavaodstavka"/>
    <w:link w:val="Pripombabesedilo"/>
    <w:uiPriority w:val="99"/>
    <w:semiHidden/>
    <w:rsid w:val="000D5954"/>
  </w:style>
  <w:style w:type="paragraph" w:styleId="Zadevapripombe">
    <w:name w:val="annotation subject"/>
    <w:basedOn w:val="Pripombabesedilo"/>
    <w:next w:val="Pripombabesedilo"/>
    <w:link w:val="ZadevapripombeZnak"/>
    <w:uiPriority w:val="99"/>
    <w:semiHidden/>
    <w:unhideWhenUsed/>
    <w:rsid w:val="000D5954"/>
    <w:rPr>
      <w:b/>
      <w:bCs/>
    </w:rPr>
  </w:style>
  <w:style w:type="character" w:customStyle="1" w:styleId="ZadevapripombeZnak">
    <w:name w:val="Zadeva pripombe Znak"/>
    <w:basedOn w:val="PripombabesediloZnak"/>
    <w:link w:val="Zadevapripombe"/>
    <w:uiPriority w:val="99"/>
    <w:semiHidden/>
    <w:rsid w:val="000D5954"/>
    <w:rPr>
      <w:b/>
      <w:bCs/>
    </w:rPr>
  </w:style>
</w:styles>
</file>

<file path=word/webSettings.xml><?xml version="1.0" encoding="utf-8"?>
<w:webSettings xmlns:r="http://schemas.openxmlformats.org/officeDocument/2006/relationships" xmlns:w="http://schemas.openxmlformats.org/wordprocessingml/2006/main">
  <w:divs>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2D13-FF53-42B4-A549-3BDFFD65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Classification</vt:lpstr>
      <vt:lpstr>Classification</vt:lpstr>
    </vt:vector>
  </TitlesOfParts>
  <Company>mobile</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creator>Karin Nowack</dc:creator>
  <cp:lastModifiedBy>tstamejcic</cp:lastModifiedBy>
  <cp:revision>2</cp:revision>
  <cp:lastPrinted>2013-09-03T12:28:00Z</cp:lastPrinted>
  <dcterms:created xsi:type="dcterms:W3CDTF">2014-05-23T07:49:00Z</dcterms:created>
  <dcterms:modified xsi:type="dcterms:W3CDTF">2014-05-23T07:49:00Z</dcterms:modified>
</cp:coreProperties>
</file>