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D2" w:rsidRPr="000D75A4" w:rsidRDefault="001E00D2" w:rsidP="001E00D2">
      <w:pPr>
        <w:pStyle w:val="KeinLeerraum"/>
        <w:spacing w:line="312" w:lineRule="auto"/>
        <w:ind w:right="1699"/>
        <w:rPr>
          <w:rFonts w:ascii="Arial" w:hAnsi="Arial" w:cs="Arial"/>
          <w:sz w:val="48"/>
          <w:szCs w:val="48"/>
        </w:rPr>
      </w:pPr>
      <w:r>
        <w:rPr>
          <w:rFonts w:ascii="Arial" w:hAnsi="Arial"/>
          <w:sz w:val="48"/>
        </w:rPr>
        <w:t>PRESS RELEASE</w:t>
      </w:r>
    </w:p>
    <w:p w:rsidR="001E00D2" w:rsidRPr="000D75A4" w:rsidRDefault="001E00D2" w:rsidP="001E00D2">
      <w:pPr>
        <w:pStyle w:val="KeinLeerraum"/>
        <w:spacing w:line="312" w:lineRule="auto"/>
        <w:ind w:right="1699"/>
        <w:rPr>
          <w:rFonts w:ascii="Arial" w:hAnsi="Arial" w:cs="Arial"/>
        </w:rPr>
      </w:pPr>
    </w:p>
    <w:p w:rsidR="001E00D2" w:rsidRPr="00073101" w:rsidRDefault="001E00D2" w:rsidP="001E00D2">
      <w:pPr>
        <w:pStyle w:val="KeinLeerraum"/>
        <w:spacing w:line="312" w:lineRule="auto"/>
        <w:ind w:right="1699"/>
        <w:rPr>
          <w:rFonts w:ascii="Arial" w:hAnsi="Arial" w:cs="Arial"/>
          <w:b/>
          <w:sz w:val="40"/>
          <w:szCs w:val="40"/>
        </w:rPr>
      </w:pPr>
      <w:r>
        <w:rPr>
          <w:rFonts w:ascii="Arial" w:hAnsi="Arial"/>
          <w:b/>
          <w:sz w:val="40"/>
        </w:rPr>
        <w:t xml:space="preserve">GLS expands international delivery service </w:t>
      </w:r>
    </w:p>
    <w:p w:rsidR="001E00D2" w:rsidRPr="000D75A4" w:rsidRDefault="001E00D2" w:rsidP="001E00D2">
      <w:pPr>
        <w:pStyle w:val="KeinLeerraum"/>
        <w:spacing w:line="312" w:lineRule="auto"/>
        <w:ind w:right="1699"/>
        <w:rPr>
          <w:rFonts w:ascii="Arial" w:hAnsi="Arial" w:cs="Arial"/>
        </w:rPr>
      </w:pPr>
    </w:p>
    <w:p w:rsidR="001E00D2" w:rsidRPr="00170AFC" w:rsidRDefault="001E00D2" w:rsidP="001E00D2">
      <w:pPr>
        <w:pStyle w:val="KeinLeerraum"/>
        <w:numPr>
          <w:ilvl w:val="0"/>
          <w:numId w:val="13"/>
        </w:numPr>
        <w:spacing w:line="312" w:lineRule="auto"/>
        <w:ind w:right="1699"/>
        <w:rPr>
          <w:rFonts w:ascii="Arial" w:hAnsi="Arial" w:cs="Arial"/>
          <w:b/>
          <w:bCs/>
        </w:rPr>
      </w:pPr>
      <w:r>
        <w:rPr>
          <w:rFonts w:ascii="Arial" w:hAnsi="Arial"/>
          <w:b/>
        </w:rPr>
        <w:t>Twelve countries in Central and Eastern Europe connected</w:t>
      </w:r>
    </w:p>
    <w:p w:rsidR="001E00D2" w:rsidRDefault="001E00D2" w:rsidP="001E00D2">
      <w:pPr>
        <w:pStyle w:val="KeinLeerraum"/>
        <w:numPr>
          <w:ilvl w:val="0"/>
          <w:numId w:val="13"/>
        </w:numPr>
        <w:spacing w:line="312" w:lineRule="auto"/>
        <w:ind w:right="1699"/>
        <w:rPr>
          <w:rFonts w:ascii="Arial" w:hAnsi="Arial" w:cs="Arial"/>
          <w:b/>
          <w:bCs/>
        </w:rPr>
      </w:pPr>
      <w:r>
        <w:rPr>
          <w:rFonts w:ascii="Arial" w:hAnsi="Arial"/>
          <w:b/>
        </w:rPr>
        <w:t>Cross-border e-commerce simplified</w:t>
      </w:r>
    </w:p>
    <w:p w:rsidR="001E00D2" w:rsidRPr="0032658E" w:rsidRDefault="001E00D2" w:rsidP="001E00D2">
      <w:pPr>
        <w:pStyle w:val="KeinLeerraum"/>
        <w:numPr>
          <w:ilvl w:val="0"/>
          <w:numId w:val="13"/>
        </w:numPr>
        <w:spacing w:line="312" w:lineRule="auto"/>
        <w:ind w:right="1699"/>
        <w:rPr>
          <w:rFonts w:ascii="Arial" w:hAnsi="Arial" w:cs="Arial"/>
          <w:b/>
          <w:bCs/>
        </w:rPr>
      </w:pPr>
      <w:r>
        <w:rPr>
          <w:rFonts w:ascii="Arial" w:hAnsi="Arial"/>
          <w:b/>
        </w:rPr>
        <w:t>Choice of parcel receipt options with</w:t>
      </w:r>
      <w:r>
        <w:rPr>
          <w:rFonts w:ascii="Arial" w:hAnsi="Arial"/>
          <w:i/>
        </w:rPr>
        <w:t xml:space="preserve"> </w:t>
      </w:r>
      <w:proofErr w:type="spellStart"/>
      <w:r>
        <w:rPr>
          <w:rFonts w:ascii="Arial" w:hAnsi="Arial"/>
          <w:i/>
        </w:rPr>
        <w:t>FlexDelivery</w:t>
      </w:r>
      <w:r>
        <w:rPr>
          <w:rFonts w:ascii="Arial" w:hAnsi="Arial"/>
          <w:b/>
          <w:i/>
        </w:rPr>
        <w:t>Service</w:t>
      </w:r>
      <w:proofErr w:type="spellEnd"/>
    </w:p>
    <w:p w:rsidR="001E00D2" w:rsidRDefault="001E00D2" w:rsidP="001E00D2">
      <w:pPr>
        <w:pStyle w:val="KeinLeerraum"/>
        <w:spacing w:line="312" w:lineRule="auto"/>
        <w:ind w:right="1699"/>
        <w:rPr>
          <w:rFonts w:ascii="Arial" w:hAnsi="Arial" w:cs="Arial"/>
          <w:b/>
          <w:bCs/>
        </w:rPr>
      </w:pPr>
    </w:p>
    <w:p w:rsidR="001E00D2" w:rsidRDefault="009108FC" w:rsidP="001E00D2">
      <w:pPr>
        <w:pStyle w:val="KeinLeerraum"/>
        <w:spacing w:line="312" w:lineRule="auto"/>
        <w:ind w:right="1699"/>
        <w:rPr>
          <w:rFonts w:ascii="Arial" w:hAnsi="Arial" w:cs="Arial"/>
          <w:b/>
          <w:bCs/>
        </w:rPr>
      </w:pPr>
      <w:r>
        <w:rPr>
          <w:rFonts w:ascii="Arial" w:hAnsi="Arial"/>
          <w:b/>
        </w:rPr>
        <w:t>Amsterdam</w:t>
      </w:r>
      <w:r w:rsidR="001E00D2">
        <w:rPr>
          <w:rFonts w:ascii="Arial" w:hAnsi="Arial"/>
          <w:b/>
        </w:rPr>
        <w:t>, 22 May 2017. P</w:t>
      </w:r>
      <w:r w:rsidR="001E00D2" w:rsidRPr="00777A47">
        <w:rPr>
          <w:rFonts w:ascii="Arial" w:hAnsi="Arial"/>
          <w:b/>
        </w:rPr>
        <w:t xml:space="preserve">arcel </w:t>
      </w:r>
      <w:r w:rsidR="001E00D2">
        <w:rPr>
          <w:rFonts w:ascii="Arial" w:hAnsi="Arial"/>
          <w:b/>
        </w:rPr>
        <w:t xml:space="preserve">service provider </w:t>
      </w:r>
      <w:r w:rsidR="001E00D2" w:rsidRPr="00777A47">
        <w:rPr>
          <w:rFonts w:ascii="Arial" w:hAnsi="Arial"/>
          <w:b/>
        </w:rPr>
        <w:t xml:space="preserve">GLS has expanded its international </w:t>
      </w:r>
      <w:proofErr w:type="spellStart"/>
      <w:r w:rsidR="001E00D2">
        <w:rPr>
          <w:rFonts w:ascii="Arial" w:hAnsi="Arial"/>
          <w:i/>
        </w:rPr>
        <w:t>FlexDelivery</w:t>
      </w:r>
      <w:r w:rsidR="001E00D2">
        <w:rPr>
          <w:rFonts w:ascii="Arial" w:hAnsi="Arial"/>
          <w:b/>
          <w:i/>
        </w:rPr>
        <w:t>Service</w:t>
      </w:r>
      <w:proofErr w:type="spellEnd"/>
      <w:r w:rsidR="001E00D2">
        <w:t xml:space="preserve"> </w:t>
      </w:r>
      <w:r w:rsidR="001E00D2" w:rsidRPr="00777A47">
        <w:rPr>
          <w:rFonts w:ascii="Arial" w:hAnsi="Arial"/>
          <w:b/>
        </w:rPr>
        <w:t>to a total of twelve countries.</w:t>
      </w:r>
      <w:r w:rsidR="001E00D2">
        <w:rPr>
          <w:rFonts w:ascii="Arial" w:hAnsi="Arial"/>
        </w:rPr>
        <w:t xml:space="preserve"> </w:t>
      </w:r>
      <w:r w:rsidR="001E00D2">
        <w:rPr>
          <w:rFonts w:ascii="Arial" w:hAnsi="Arial"/>
          <w:b/>
        </w:rPr>
        <w:t xml:space="preserve"> As a result, online shoppers throughout these countries will be informed of scheduled parcel deliveries, allowing them to decide when and where they want to take delivery of their items – regardless of the country in which they were ordered. </w:t>
      </w:r>
      <w:bookmarkStart w:id="0" w:name="_GoBack"/>
      <w:bookmarkEnd w:id="0"/>
    </w:p>
    <w:p w:rsidR="001E00D2" w:rsidRDefault="001E00D2" w:rsidP="001E00D2">
      <w:pPr>
        <w:pStyle w:val="KeinLeerraum"/>
        <w:spacing w:line="312" w:lineRule="auto"/>
        <w:ind w:right="1699"/>
        <w:rPr>
          <w:rFonts w:ascii="Arial" w:hAnsi="Arial" w:cs="Arial"/>
          <w:b/>
          <w:bCs/>
        </w:rPr>
      </w:pPr>
    </w:p>
    <w:p w:rsidR="001E00D2" w:rsidRPr="005F62E8" w:rsidRDefault="001E00D2" w:rsidP="001E00D2">
      <w:pPr>
        <w:pStyle w:val="KeinLeerraum"/>
        <w:spacing w:line="312" w:lineRule="auto"/>
        <w:ind w:right="1699"/>
        <w:rPr>
          <w:rFonts w:ascii="Arial" w:hAnsi="Arial" w:cs="Arial"/>
        </w:rPr>
      </w:pPr>
      <w:r>
        <w:rPr>
          <w:rFonts w:ascii="Arial" w:hAnsi="Arial"/>
        </w:rPr>
        <w:t>Austria, the Benelux countries, Germany, Poland and the GLS region Europe East – which includes the Czech Republic, Croatia, Hungary, Slovakia, Slovenia and Romania – are now linked in all directions. “Demand for international services is increasing with the growth in cross-border e-commerce,” explains Rico Back, CEO of the GLS Group. “By expanding our service, we are providing senders with new growth opportunities and giving consumers access to new products.”</w:t>
      </w:r>
    </w:p>
    <w:p w:rsidR="001E00D2" w:rsidRPr="005F62E8" w:rsidRDefault="001E00D2" w:rsidP="001E00D2">
      <w:pPr>
        <w:pStyle w:val="KeinLeerraum"/>
        <w:spacing w:line="312" w:lineRule="auto"/>
        <w:ind w:right="1699"/>
        <w:rPr>
          <w:rFonts w:ascii="Arial" w:hAnsi="Arial" w:cs="Arial"/>
        </w:rPr>
      </w:pPr>
    </w:p>
    <w:p w:rsidR="001E00D2" w:rsidRPr="005F62E8" w:rsidRDefault="001E00D2" w:rsidP="001E00D2">
      <w:pPr>
        <w:pStyle w:val="KeinLeerraum"/>
        <w:spacing w:line="312" w:lineRule="auto"/>
        <w:ind w:right="1699"/>
        <w:rPr>
          <w:rFonts w:ascii="Arial" w:hAnsi="Arial" w:cs="Arial"/>
          <w:b/>
        </w:rPr>
      </w:pPr>
      <w:r>
        <w:rPr>
          <w:rFonts w:ascii="Arial" w:hAnsi="Arial"/>
          <w:b/>
        </w:rPr>
        <w:t>Integration continues</w:t>
      </w:r>
    </w:p>
    <w:p w:rsidR="001E00D2" w:rsidRPr="005F62E8" w:rsidRDefault="001E00D2" w:rsidP="001E00D2">
      <w:pPr>
        <w:pStyle w:val="KeinLeerraum"/>
        <w:spacing w:line="312" w:lineRule="auto"/>
        <w:ind w:right="1699"/>
        <w:rPr>
          <w:rFonts w:ascii="Arial" w:hAnsi="Arial" w:cs="Arial"/>
        </w:rPr>
      </w:pPr>
    </w:p>
    <w:p w:rsidR="001E00D2" w:rsidRPr="005F62E8" w:rsidRDefault="001E00D2" w:rsidP="001E00D2">
      <w:pPr>
        <w:pStyle w:val="KeinLeerraum"/>
        <w:spacing w:line="312" w:lineRule="auto"/>
        <w:ind w:right="1699"/>
        <w:rPr>
          <w:rFonts w:ascii="Arial" w:hAnsi="Arial" w:cs="Arial"/>
        </w:rPr>
      </w:pPr>
      <w:r>
        <w:rPr>
          <w:rFonts w:ascii="Arial" w:hAnsi="Arial"/>
        </w:rPr>
        <w:t xml:space="preserve">The linking of twelve countries to form a single interconnected region is another milestone on the road towards a Europe-wide </w:t>
      </w:r>
      <w:proofErr w:type="spellStart"/>
      <w:r>
        <w:rPr>
          <w:rFonts w:ascii="Arial" w:hAnsi="Arial"/>
          <w:i/>
        </w:rPr>
        <w:t>FlexDelivery</w:t>
      </w:r>
      <w:r>
        <w:rPr>
          <w:rFonts w:ascii="Arial" w:hAnsi="Arial"/>
          <w:b/>
          <w:i/>
        </w:rPr>
        <w:t>Service</w:t>
      </w:r>
      <w:proofErr w:type="spellEnd"/>
      <w:r>
        <w:rPr>
          <w:rFonts w:ascii="Arial" w:hAnsi="Arial"/>
        </w:rPr>
        <w:t xml:space="preserve">. The integration of Denmark and France is already under way, with GLS also offering flexible delivery in these countries for parcels sent from Belgium, Germany, Luxembourg, Austria and Poland. At national level, </w:t>
      </w:r>
      <w:proofErr w:type="spellStart"/>
      <w:r>
        <w:rPr>
          <w:rFonts w:ascii="Arial" w:hAnsi="Arial"/>
          <w:i/>
        </w:rPr>
        <w:t>FlexDelivery</w:t>
      </w:r>
      <w:r>
        <w:rPr>
          <w:rFonts w:ascii="Arial" w:hAnsi="Arial"/>
          <w:b/>
          <w:i/>
        </w:rPr>
        <w:t>Service</w:t>
      </w:r>
      <w:proofErr w:type="spellEnd"/>
      <w:r>
        <w:rPr>
          <w:rFonts w:ascii="Arial" w:hAnsi="Arial"/>
        </w:rPr>
        <w:t xml:space="preserve"> is available in all 14 countries.  </w:t>
      </w:r>
    </w:p>
    <w:p w:rsidR="001E00D2" w:rsidRPr="005F62E8" w:rsidRDefault="001E00D2" w:rsidP="001E00D2">
      <w:pPr>
        <w:pStyle w:val="KeinLeerraum"/>
        <w:spacing w:line="312" w:lineRule="auto"/>
        <w:ind w:right="1699"/>
        <w:rPr>
          <w:rFonts w:ascii="Arial" w:hAnsi="Arial" w:cs="Arial"/>
        </w:rPr>
      </w:pPr>
    </w:p>
    <w:p w:rsidR="001E00D2" w:rsidRPr="005F62E8" w:rsidRDefault="001E00D2" w:rsidP="001E00D2">
      <w:pPr>
        <w:pStyle w:val="KeinLeerraum"/>
        <w:spacing w:line="312" w:lineRule="auto"/>
        <w:ind w:right="1699"/>
        <w:rPr>
          <w:rFonts w:ascii="Arial" w:hAnsi="Arial" w:cs="Arial"/>
          <w:b/>
        </w:rPr>
      </w:pPr>
      <w:r>
        <w:rPr>
          <w:rFonts w:ascii="Arial" w:hAnsi="Arial"/>
          <w:b/>
        </w:rPr>
        <w:t>Meeting people’s needs</w:t>
      </w:r>
    </w:p>
    <w:p w:rsidR="001E00D2" w:rsidRPr="005F62E8" w:rsidRDefault="001E00D2" w:rsidP="001E00D2">
      <w:pPr>
        <w:pStyle w:val="KeinLeerraum"/>
        <w:spacing w:line="312" w:lineRule="auto"/>
        <w:ind w:right="1699"/>
        <w:rPr>
          <w:rFonts w:ascii="Arial" w:hAnsi="Arial" w:cs="Arial"/>
        </w:rPr>
      </w:pPr>
    </w:p>
    <w:p w:rsidR="001E00D2" w:rsidRPr="000200C5" w:rsidRDefault="001E00D2" w:rsidP="001E00D2">
      <w:pPr>
        <w:pStyle w:val="KeinLeerraum"/>
        <w:spacing w:line="312" w:lineRule="auto"/>
        <w:ind w:right="1699"/>
        <w:rPr>
          <w:rFonts w:ascii="Arial" w:hAnsi="Arial" w:cs="Arial"/>
        </w:rPr>
      </w:pPr>
      <w:r>
        <w:rPr>
          <w:rFonts w:ascii="Arial" w:hAnsi="Arial"/>
        </w:rPr>
        <w:t xml:space="preserve">The international </w:t>
      </w:r>
      <w:proofErr w:type="spellStart"/>
      <w:r>
        <w:rPr>
          <w:rFonts w:ascii="Arial" w:hAnsi="Arial"/>
          <w:i/>
        </w:rPr>
        <w:t>FlexDelivery</w:t>
      </w:r>
      <w:r>
        <w:rPr>
          <w:rFonts w:ascii="Arial" w:hAnsi="Arial"/>
          <w:b/>
          <w:i/>
        </w:rPr>
        <w:t>Service</w:t>
      </w:r>
      <w:proofErr w:type="spellEnd"/>
      <w:r>
        <w:rPr>
          <w:rFonts w:ascii="Arial" w:hAnsi="Arial"/>
        </w:rPr>
        <w:t xml:space="preserve"> makes it easier for online shoppers to take delivery of goods purchased abroad. Anyone who shops beyond national borders in one of the linked countries can choose from a wide range of delivery options in their home country. Popular choices include parcel delivery on a desired day or at </w:t>
      </w:r>
      <w:r>
        <w:rPr>
          <w:rFonts w:ascii="Arial" w:hAnsi="Arial"/>
        </w:rPr>
        <w:lastRenderedPageBreak/>
        <w:t xml:space="preserve">a GLS </w:t>
      </w:r>
      <w:proofErr w:type="spellStart"/>
      <w:r>
        <w:rPr>
          <w:rFonts w:ascii="Arial" w:hAnsi="Arial"/>
        </w:rPr>
        <w:t>ParcelShop</w:t>
      </w:r>
      <w:proofErr w:type="spellEnd"/>
      <w:r>
        <w:rPr>
          <w:rFonts w:ascii="Arial" w:hAnsi="Arial"/>
        </w:rPr>
        <w:t xml:space="preserve">. Depending on the services available in each region, GLS </w:t>
      </w:r>
      <w:r w:rsidRPr="000200C5">
        <w:rPr>
          <w:rFonts w:ascii="Arial" w:hAnsi="Arial" w:cs="Arial"/>
        </w:rPr>
        <w:t xml:space="preserve">also delivers in the evening, deposits the shipment at an agreed secure location or, in Europe East, leaves it for collection at a GLS parcel locker terminal. </w:t>
      </w:r>
    </w:p>
    <w:p w:rsidR="001E00D2" w:rsidRPr="000200C5" w:rsidRDefault="001E00D2" w:rsidP="001E00D2">
      <w:pPr>
        <w:pStyle w:val="KeinLeerraum"/>
        <w:spacing w:line="312" w:lineRule="auto"/>
        <w:ind w:right="1699"/>
        <w:rPr>
          <w:rFonts w:ascii="Arial" w:hAnsi="Arial" w:cs="Arial"/>
        </w:rPr>
      </w:pPr>
    </w:p>
    <w:p w:rsidR="001E00D2" w:rsidRPr="000200C5" w:rsidRDefault="001E00D2" w:rsidP="001E00D2">
      <w:pPr>
        <w:pStyle w:val="KeinLeerraum"/>
        <w:spacing w:line="312" w:lineRule="auto"/>
        <w:ind w:right="1699"/>
        <w:rPr>
          <w:rFonts w:ascii="Arial" w:hAnsi="Arial" w:cs="Arial"/>
        </w:rPr>
      </w:pPr>
    </w:p>
    <w:p w:rsidR="001E00D2" w:rsidRPr="000200C5" w:rsidRDefault="001E00D2" w:rsidP="001E00D2">
      <w:pPr>
        <w:pStyle w:val="KeinLeerraum"/>
        <w:spacing w:line="312" w:lineRule="auto"/>
        <w:ind w:right="1557"/>
        <w:rPr>
          <w:rFonts w:ascii="Arial" w:hAnsi="Arial" w:cs="Arial"/>
          <w:b/>
          <w:i/>
          <w:sz w:val="20"/>
          <w:szCs w:val="20"/>
        </w:rPr>
      </w:pPr>
      <w:r w:rsidRPr="000200C5">
        <w:rPr>
          <w:rFonts w:ascii="Arial" w:hAnsi="Arial" w:cs="Arial"/>
          <w:b/>
          <w:i/>
          <w:sz w:val="20"/>
          <w:szCs w:val="20"/>
        </w:rPr>
        <w:t xml:space="preserve">The GLS Group </w:t>
      </w:r>
    </w:p>
    <w:p w:rsidR="001E00D2" w:rsidRPr="000200C5" w:rsidRDefault="001E00D2" w:rsidP="001E00D2">
      <w:pPr>
        <w:pStyle w:val="KeinLeerraum"/>
        <w:spacing w:line="312" w:lineRule="auto"/>
        <w:ind w:right="1557"/>
        <w:rPr>
          <w:rFonts w:ascii="Arial" w:hAnsi="Arial" w:cs="Arial"/>
          <w:sz w:val="20"/>
          <w:szCs w:val="20"/>
        </w:rPr>
      </w:pPr>
    </w:p>
    <w:p w:rsidR="000829E9" w:rsidRDefault="009108FC" w:rsidP="009108FC">
      <w:pPr>
        <w:spacing w:line="312" w:lineRule="auto"/>
        <w:ind w:right="1701"/>
        <w:rPr>
          <w:rFonts w:eastAsia="Calibri" w:cs="Arial"/>
          <w:sz w:val="20"/>
          <w:szCs w:val="20"/>
          <w:lang w:val="en-GB" w:eastAsia="en-GB" w:bidi="en-GB"/>
        </w:rPr>
      </w:pPr>
      <w:r w:rsidRPr="009108FC">
        <w:rPr>
          <w:rFonts w:eastAsia="Calibri" w:cs="Arial"/>
          <w:sz w:val="20"/>
          <w:szCs w:val="20"/>
          <w:lang w:val="en-GB" w:eastAsia="en-GB" w:bidi="en-GB"/>
        </w:rPr>
        <w:t xml:space="preserve">GLS, General Logistics Systems B.V. (headquartered in Amsterdam), realises reliable, high-quality parcel services for over 240,000 customers, complemented by logistics and express services. “Quality leader in European parcel logistics” is GLS’ guiding principle, sustainability being one of the core values. Through wholly owned and partner companies, the Group provides a network coverage of 41 European and seven U.S. states and is globally connected via contractual agreements. 62 central transhipment points and more than 1,000 depots are at GLS’ disposal. With its </w:t>
      </w:r>
      <w:proofErr w:type="gramStart"/>
      <w:r w:rsidRPr="009108FC">
        <w:rPr>
          <w:rFonts w:eastAsia="Calibri" w:cs="Arial"/>
          <w:sz w:val="20"/>
          <w:szCs w:val="20"/>
          <w:lang w:val="en-GB" w:eastAsia="en-GB" w:bidi="en-GB"/>
        </w:rPr>
        <w:t>ground</w:t>
      </w:r>
      <w:proofErr w:type="gramEnd"/>
      <w:r w:rsidRPr="009108FC">
        <w:rPr>
          <w:rFonts w:eastAsia="Calibri" w:cs="Arial"/>
          <w:sz w:val="20"/>
          <w:szCs w:val="20"/>
          <w:lang w:val="en-GB" w:eastAsia="en-GB" w:bidi="en-GB"/>
        </w:rPr>
        <w:t xml:space="preserve"> based network GLS is one of the leading parcel service providers in Europe. About 17,000 employees handle 508 million parcels per year. Every day around 26,000 vehicles are on route for GLS. In the financial year 2016/17 GLS achieved revenues of 2.5 billion euros.</w:t>
      </w:r>
    </w:p>
    <w:p w:rsidR="009108FC" w:rsidRDefault="009108FC" w:rsidP="009108FC">
      <w:pPr>
        <w:spacing w:line="312" w:lineRule="auto"/>
        <w:ind w:right="1701"/>
        <w:rPr>
          <w:lang w:val="en-GB"/>
        </w:rPr>
      </w:pPr>
    </w:p>
    <w:p w:rsidR="001E00D2" w:rsidRPr="001E00D2" w:rsidRDefault="001E00D2" w:rsidP="001E00D2">
      <w:pPr>
        <w:ind w:right="1699"/>
        <w:rPr>
          <w:lang w:val="en-GB"/>
        </w:rPr>
      </w:pPr>
      <w:r>
        <w:rPr>
          <w:rFonts w:cs="Arial"/>
          <w:bCs/>
          <w:sz w:val="20"/>
          <w:szCs w:val="20"/>
        </w:rPr>
        <w:t xml:space="preserve">More </w:t>
      </w:r>
      <w:proofErr w:type="spellStart"/>
      <w:r>
        <w:rPr>
          <w:rFonts w:cs="Arial"/>
          <w:bCs/>
          <w:sz w:val="20"/>
          <w:szCs w:val="20"/>
        </w:rPr>
        <w:t>information</w:t>
      </w:r>
      <w:proofErr w:type="spellEnd"/>
      <w:r>
        <w:rPr>
          <w:rFonts w:cs="Arial"/>
          <w:bCs/>
          <w:sz w:val="20"/>
          <w:szCs w:val="20"/>
        </w:rPr>
        <w:t xml:space="preserve">: </w:t>
      </w:r>
      <w:hyperlink r:id="rId8" w:history="1">
        <w:r>
          <w:rPr>
            <w:rStyle w:val="Hyperlink"/>
            <w:rFonts w:cs="Arial"/>
            <w:bCs/>
            <w:sz w:val="20"/>
            <w:szCs w:val="20"/>
          </w:rPr>
          <w:t>gls-group.eu</w:t>
        </w:r>
      </w:hyperlink>
    </w:p>
    <w:sectPr w:rsidR="001E00D2" w:rsidRPr="001E00D2" w:rsidSect="00EE452B">
      <w:headerReference w:type="even" r:id="rId9"/>
      <w:headerReference w:type="default" r:id="rId10"/>
      <w:footerReference w:type="even" r:id="rId11"/>
      <w:footerReference w:type="default" r:id="rId12"/>
      <w:headerReference w:type="first" r:id="rId13"/>
      <w:footerReference w:type="first" r:id="rId14"/>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D2" w:rsidRDefault="001E00D2">
      <w:pPr>
        <w:spacing w:line="240" w:lineRule="auto"/>
      </w:pPr>
      <w:r>
        <w:separator/>
      </w:r>
    </w:p>
  </w:endnote>
  <w:endnote w:type="continuationSeparator" w:id="0">
    <w:p w:rsidR="001E00D2" w:rsidRDefault="001E0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BA" w:rsidRDefault="00140D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BF" w:rsidRPr="00140DBA" w:rsidRDefault="005B28BF" w:rsidP="00140D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BF" w:rsidRDefault="005B28BF">
    <w:pPr>
      <w:pStyle w:val="Fuzeile"/>
      <w:tabs>
        <w:tab w:val="left" w:pos="7200"/>
      </w:tabs>
    </w:pPr>
  </w:p>
  <w:p w:rsidR="005B28BF" w:rsidRDefault="005B28BF">
    <w:pPr>
      <w:pStyle w:val="Fuzeile"/>
    </w:pPr>
  </w:p>
  <w:p w:rsidR="005B28BF" w:rsidRDefault="005B28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D2" w:rsidRDefault="001E00D2">
      <w:pPr>
        <w:spacing w:line="240" w:lineRule="auto"/>
      </w:pPr>
      <w:r>
        <w:separator/>
      </w:r>
    </w:p>
  </w:footnote>
  <w:footnote w:type="continuationSeparator" w:id="0">
    <w:p w:rsidR="001E00D2" w:rsidRDefault="001E00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BA" w:rsidRDefault="00140D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BF" w:rsidRDefault="005B28BF" w:rsidP="00194798">
    <w:pPr>
      <w:pStyle w:val="Kopfzeile"/>
      <w:ind w:left="720"/>
    </w:pPr>
    <w:r>
      <w:rPr>
        <w:noProof/>
        <w:lang w:val="de-DE" w:eastAsia="de-DE"/>
      </w:rPr>
      <w:drawing>
        <wp:anchor distT="0" distB="0" distL="114300" distR="114300" simplePos="0" relativeHeight="251658240" behindDoc="0" locked="0" layoutInCell="1" allowOverlap="1" wp14:anchorId="3177B436" wp14:editId="58494C50">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0" layoutInCell="1" allowOverlap="1" wp14:anchorId="0F018AF5" wp14:editId="493C9013">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4CEB1"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BF" w:rsidRDefault="005B28BF">
    <w:pPr>
      <w:framePr w:w="2118" w:h="751" w:hRule="exact" w:hSpace="181" w:wrap="around" w:vAnchor="page" w:hAnchor="page" w:x="1427" w:y="1128"/>
      <w:spacing w:line="240" w:lineRule="auto"/>
      <w:rPr>
        <w:sz w:val="12"/>
      </w:rPr>
    </w:pPr>
    <w:r>
      <w:rPr>
        <w:sz w:val="12"/>
      </w:rPr>
      <w:t>Depot xx Depotname</w:t>
    </w:r>
  </w:p>
  <w:p w:rsidR="005B28BF" w:rsidRDefault="005B28BF">
    <w:pPr>
      <w:framePr w:w="2118" w:h="751" w:hRule="exact" w:hSpace="181" w:wrap="around" w:vAnchor="page" w:hAnchor="page" w:x="1427" w:y="1128"/>
      <w:spacing w:line="240" w:lineRule="auto"/>
      <w:rPr>
        <w:sz w:val="12"/>
      </w:rPr>
    </w:pPr>
    <w:r>
      <w:rPr>
        <w:sz w:val="12"/>
      </w:rPr>
      <w:t xml:space="preserve">Straße </w:t>
    </w:r>
  </w:p>
  <w:p w:rsidR="005B28BF" w:rsidRDefault="005B28BF">
    <w:pPr>
      <w:framePr w:w="2118" w:h="751" w:hRule="exact" w:hSpace="181" w:wrap="around" w:vAnchor="page" w:hAnchor="page" w:x="1427" w:y="1128"/>
      <w:spacing w:line="240" w:lineRule="auto"/>
      <w:rPr>
        <w:sz w:val="12"/>
      </w:rPr>
    </w:pPr>
    <w:r>
      <w:rPr>
        <w:sz w:val="12"/>
      </w:rPr>
      <w:t>PLZ Ort</w:t>
    </w:r>
  </w:p>
  <w:p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rsidR="005B28BF" w:rsidRDefault="005B28BF">
    <w:pPr>
      <w:framePr w:w="2118" w:h="751" w:hRule="exact" w:hSpace="181" w:wrap="around" w:vAnchor="page" w:hAnchor="page" w:x="1427" w:y="1128"/>
      <w:tabs>
        <w:tab w:val="left" w:pos="851"/>
      </w:tabs>
      <w:spacing w:line="240" w:lineRule="auto"/>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rsidR="005B28BF" w:rsidRPr="00A651AD" w:rsidRDefault="005B28BF">
    <w:pPr>
      <w:pStyle w:val="Kopfzeile"/>
      <w:rPr>
        <w:sz w:val="24"/>
        <w:lang w:val="de-DE"/>
      </w:rPr>
    </w:pPr>
    <w:r>
      <w:rPr>
        <w:noProof/>
        <w:sz w:val="24"/>
        <w:lang w:val="de-DE" w:eastAsia="de-DE"/>
      </w:rPr>
      <w:drawing>
        <wp:anchor distT="0" distB="0" distL="114300" distR="114300" simplePos="0" relativeHeight="251656192" behindDoc="0" locked="0" layoutInCell="1" allowOverlap="1" wp14:anchorId="33701626" wp14:editId="6E0E8333">
          <wp:simplePos x="0" y="0"/>
          <wp:positionH relativeFrom="column">
            <wp:posOffset>-824865</wp:posOffset>
          </wp:positionH>
          <wp:positionV relativeFrom="paragraph">
            <wp:posOffset>-520700</wp:posOffset>
          </wp:positionV>
          <wp:extent cx="7635240" cy="10796905"/>
          <wp:effectExtent l="0" t="0" r="3810" b="4445"/>
          <wp:wrapNone/>
          <wp:docPr id="1"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8"/>
  </w:num>
  <w:num w:numId="5">
    <w:abstractNumId w:val="5"/>
  </w:num>
  <w:num w:numId="6">
    <w:abstractNumId w:val="10"/>
  </w:num>
  <w:num w:numId="7">
    <w:abstractNumId w:val="6"/>
  </w:num>
  <w:num w:numId="8">
    <w:abstractNumId w:val="11"/>
  </w:num>
  <w:num w:numId="9">
    <w:abstractNumId w:val="7"/>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D2"/>
    <w:rsid w:val="00002D2F"/>
    <w:rsid w:val="0001053F"/>
    <w:rsid w:val="00035284"/>
    <w:rsid w:val="00057187"/>
    <w:rsid w:val="000829E9"/>
    <w:rsid w:val="00087EA7"/>
    <w:rsid w:val="00096787"/>
    <w:rsid w:val="000A561F"/>
    <w:rsid w:val="000A6B6F"/>
    <w:rsid w:val="000D4504"/>
    <w:rsid w:val="000E1F9C"/>
    <w:rsid w:val="000E2F28"/>
    <w:rsid w:val="00104FCE"/>
    <w:rsid w:val="00140DBA"/>
    <w:rsid w:val="00156821"/>
    <w:rsid w:val="001579C1"/>
    <w:rsid w:val="00161D64"/>
    <w:rsid w:val="0018231A"/>
    <w:rsid w:val="00194798"/>
    <w:rsid w:val="001A2B88"/>
    <w:rsid w:val="001B0167"/>
    <w:rsid w:val="001B46B4"/>
    <w:rsid w:val="001D2253"/>
    <w:rsid w:val="001E00D2"/>
    <w:rsid w:val="001F1EA4"/>
    <w:rsid w:val="00205F1D"/>
    <w:rsid w:val="0021054E"/>
    <w:rsid w:val="00254307"/>
    <w:rsid w:val="00257648"/>
    <w:rsid w:val="002739C1"/>
    <w:rsid w:val="002741EC"/>
    <w:rsid w:val="002B1E97"/>
    <w:rsid w:val="00352966"/>
    <w:rsid w:val="0036005E"/>
    <w:rsid w:val="003750E2"/>
    <w:rsid w:val="003F2369"/>
    <w:rsid w:val="0046119A"/>
    <w:rsid w:val="00480E7F"/>
    <w:rsid w:val="00483E0B"/>
    <w:rsid w:val="004E59E2"/>
    <w:rsid w:val="004E6CAF"/>
    <w:rsid w:val="00501DD5"/>
    <w:rsid w:val="00504B53"/>
    <w:rsid w:val="00523921"/>
    <w:rsid w:val="005557C0"/>
    <w:rsid w:val="005773EF"/>
    <w:rsid w:val="00580B1D"/>
    <w:rsid w:val="005A2F18"/>
    <w:rsid w:val="005A4751"/>
    <w:rsid w:val="005B28BF"/>
    <w:rsid w:val="005F22EA"/>
    <w:rsid w:val="00637B00"/>
    <w:rsid w:val="00642E92"/>
    <w:rsid w:val="00661D02"/>
    <w:rsid w:val="00663E9F"/>
    <w:rsid w:val="00684B2F"/>
    <w:rsid w:val="006D3DFB"/>
    <w:rsid w:val="006E4674"/>
    <w:rsid w:val="00730207"/>
    <w:rsid w:val="00731839"/>
    <w:rsid w:val="00736FEF"/>
    <w:rsid w:val="007405D2"/>
    <w:rsid w:val="00771E36"/>
    <w:rsid w:val="007A69F1"/>
    <w:rsid w:val="007D6A8D"/>
    <w:rsid w:val="00813CC5"/>
    <w:rsid w:val="008174F9"/>
    <w:rsid w:val="008A3A55"/>
    <w:rsid w:val="008D34C9"/>
    <w:rsid w:val="008E6665"/>
    <w:rsid w:val="00903021"/>
    <w:rsid w:val="009108FC"/>
    <w:rsid w:val="009170BF"/>
    <w:rsid w:val="00923DEE"/>
    <w:rsid w:val="009A0C10"/>
    <w:rsid w:val="009D1967"/>
    <w:rsid w:val="00A00CE1"/>
    <w:rsid w:val="00A07D45"/>
    <w:rsid w:val="00A231EA"/>
    <w:rsid w:val="00A30C63"/>
    <w:rsid w:val="00A618B1"/>
    <w:rsid w:val="00A651AD"/>
    <w:rsid w:val="00AA11F2"/>
    <w:rsid w:val="00AA1E8B"/>
    <w:rsid w:val="00AA7728"/>
    <w:rsid w:val="00AC3FE9"/>
    <w:rsid w:val="00AD09FC"/>
    <w:rsid w:val="00AF5DC8"/>
    <w:rsid w:val="00B07EE3"/>
    <w:rsid w:val="00B21B9C"/>
    <w:rsid w:val="00B31DFA"/>
    <w:rsid w:val="00B414D9"/>
    <w:rsid w:val="00B41902"/>
    <w:rsid w:val="00B56D10"/>
    <w:rsid w:val="00B711D4"/>
    <w:rsid w:val="00BA476D"/>
    <w:rsid w:val="00BE3D6E"/>
    <w:rsid w:val="00C30CFE"/>
    <w:rsid w:val="00C3680B"/>
    <w:rsid w:val="00C46BBF"/>
    <w:rsid w:val="00CA2290"/>
    <w:rsid w:val="00CC24C8"/>
    <w:rsid w:val="00CD5392"/>
    <w:rsid w:val="00DA27D1"/>
    <w:rsid w:val="00E81896"/>
    <w:rsid w:val="00EA0160"/>
    <w:rsid w:val="00EA4CFF"/>
    <w:rsid w:val="00ED27C4"/>
    <w:rsid w:val="00EE452B"/>
    <w:rsid w:val="00F31F9A"/>
    <w:rsid w:val="00F472A3"/>
    <w:rsid w:val="00F6376D"/>
    <w:rsid w:val="00F86B6F"/>
    <w:rsid w:val="00FB1028"/>
    <w:rsid w:val="00FC3EF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72154"/>
    </o:shapedefaults>
    <o:shapelayout v:ext="edit">
      <o:idmap v:ext="edit" data="1"/>
    </o:shapelayout>
  </w:shapeDefaults>
  <w:decimalSymbol w:val=","/>
  <w:listSeparator w:val=";"/>
  <w14:docId w14:val="06D41C0D"/>
  <w15:docId w15:val="{716BAB74-9883-4F8E-BFCF-EB4EEA5D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829E9"/>
    <w:pPr>
      <w:spacing w:line="280" w:lineRule="exact"/>
    </w:pPr>
    <w:rPr>
      <w:rFonts w:ascii="Arial" w:hAnsi="Arial"/>
      <w:sz w:val="22"/>
      <w:szCs w:val="24"/>
      <w:lang w:eastAsia="en-US"/>
    </w:rPr>
  </w:style>
  <w:style w:type="paragraph" w:styleId="berschrift1">
    <w:name w:val="heading 1"/>
    <w:basedOn w:val="Standard"/>
    <w:next w:val="Standard"/>
    <w:qFormat/>
    <w:rsid w:val="000829E9"/>
    <w:pPr>
      <w:keepNext/>
      <w:spacing w:before="240" w:after="240" w:line="240" w:lineRule="auto"/>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lang w:val="nl-NL"/>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spacing w:line="240" w:lineRule="auto"/>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1E00D2"/>
    <w:rPr>
      <w:rFonts w:ascii="Calibri" w:eastAsia="Calibri" w:hAnsi="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5512-0B81-4F27-A87B-3F7F6CF5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Classification</vt:lpstr>
    </vt:vector>
  </TitlesOfParts>
  <Company>mobile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cp:lastModifiedBy>
  <cp:revision>2</cp:revision>
  <cp:lastPrinted>2013-09-03T12:28:00Z</cp:lastPrinted>
  <dcterms:created xsi:type="dcterms:W3CDTF">2017-05-12T12:48:00Z</dcterms:created>
  <dcterms:modified xsi:type="dcterms:W3CDTF">2017-05-22T09:09:00Z</dcterms:modified>
</cp:coreProperties>
</file>