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05A" w:rsidRPr="00C62DFF" w:rsidRDefault="00EF493E" w:rsidP="005077E5">
      <w:pPr>
        <w:keepNext/>
        <w:spacing w:line="312" w:lineRule="auto"/>
        <w:ind w:right="282"/>
        <w:outlineLvl w:val="7"/>
        <w:rPr>
          <w:rFonts w:ascii="Arial" w:hAnsi="Arial" w:cs="Arial"/>
          <w:sz w:val="52"/>
          <w:szCs w:val="52"/>
        </w:rPr>
      </w:pPr>
      <w:r>
        <w:rPr>
          <w:rFonts w:ascii="Arial" w:hAnsi="Arial"/>
          <w:sz w:val="52"/>
          <w:szCs w:val="52"/>
        </w:rPr>
        <w:t>PRESS RELEASE</w:t>
      </w:r>
    </w:p>
    <w:p w:rsidR="00EF493E" w:rsidRPr="00DC67B8" w:rsidRDefault="009C69FE" w:rsidP="005077E5">
      <w:pPr>
        <w:spacing w:line="312" w:lineRule="auto"/>
        <w:ind w:right="282"/>
        <w:rPr>
          <w:rFonts w:ascii="Arial" w:eastAsia="Calibri" w:hAnsi="Arial" w:cs="Arial"/>
          <w:b/>
          <w:sz w:val="22"/>
          <w:szCs w:val="22"/>
        </w:rPr>
      </w:pPr>
      <w:r>
        <w:rPr>
          <w:rFonts w:ascii="Arial" w:hAnsi="Arial"/>
          <w:b/>
          <w:sz w:val="22"/>
          <w:szCs w:val="22"/>
          <w:u w:val="single"/>
        </w:rPr>
        <w:br/>
      </w:r>
      <w:r>
        <w:rPr>
          <w:rFonts w:ascii="Arial" w:hAnsi="Arial"/>
          <w:b/>
          <w:sz w:val="36"/>
          <w:szCs w:val="36"/>
        </w:rPr>
        <w:t xml:space="preserve">GLS Group publishes update to the </w:t>
      </w:r>
      <w:r w:rsidR="00A37573">
        <w:rPr>
          <w:rFonts w:ascii="Arial" w:hAnsi="Arial"/>
          <w:b/>
          <w:sz w:val="36"/>
          <w:szCs w:val="36"/>
        </w:rPr>
        <w:t>s</w:t>
      </w:r>
      <w:r>
        <w:rPr>
          <w:rFonts w:ascii="Arial" w:hAnsi="Arial"/>
          <w:b/>
          <w:sz w:val="36"/>
          <w:szCs w:val="36"/>
        </w:rPr>
        <w:t xml:space="preserve">ustainability </w:t>
      </w:r>
      <w:r w:rsidR="00A37573">
        <w:rPr>
          <w:rFonts w:ascii="Arial" w:hAnsi="Arial"/>
          <w:b/>
          <w:sz w:val="36"/>
          <w:szCs w:val="36"/>
        </w:rPr>
        <w:t>r</w:t>
      </w:r>
      <w:r>
        <w:rPr>
          <w:rFonts w:ascii="Arial" w:hAnsi="Arial"/>
          <w:b/>
          <w:sz w:val="36"/>
          <w:szCs w:val="36"/>
        </w:rPr>
        <w:t xml:space="preserve">eport </w:t>
      </w:r>
      <w:r>
        <w:rPr>
          <w:rFonts w:ascii="Arial" w:hAnsi="Arial"/>
          <w:b/>
          <w:sz w:val="36"/>
          <w:szCs w:val="36"/>
        </w:rPr>
        <w:br/>
      </w:r>
    </w:p>
    <w:p w:rsidR="00700C3B" w:rsidRDefault="00700C3B" w:rsidP="005077E5">
      <w:pPr>
        <w:widowControl w:val="0"/>
        <w:numPr>
          <w:ilvl w:val="0"/>
          <w:numId w:val="1"/>
        </w:numPr>
        <w:spacing w:line="312" w:lineRule="auto"/>
        <w:ind w:right="282"/>
        <w:rPr>
          <w:rFonts w:ascii="Arial" w:eastAsia="Calibri" w:hAnsi="Arial" w:cs="Arial"/>
          <w:b/>
          <w:sz w:val="22"/>
          <w:szCs w:val="22"/>
        </w:rPr>
      </w:pPr>
      <w:r>
        <w:rPr>
          <w:rFonts w:ascii="Arial" w:hAnsi="Arial"/>
          <w:b/>
          <w:sz w:val="22"/>
          <w:szCs w:val="22"/>
        </w:rPr>
        <w:t>Developments in the 2017/18 financial year</w:t>
      </w:r>
    </w:p>
    <w:p w:rsidR="00700C3B" w:rsidRDefault="00700C3B" w:rsidP="005077E5">
      <w:pPr>
        <w:widowControl w:val="0"/>
        <w:numPr>
          <w:ilvl w:val="0"/>
          <w:numId w:val="1"/>
        </w:numPr>
        <w:spacing w:line="312" w:lineRule="auto"/>
        <w:ind w:right="282"/>
        <w:rPr>
          <w:rFonts w:ascii="Arial" w:eastAsia="Calibri" w:hAnsi="Arial" w:cs="Arial"/>
          <w:b/>
          <w:sz w:val="22"/>
          <w:szCs w:val="22"/>
        </w:rPr>
      </w:pPr>
      <w:r>
        <w:rPr>
          <w:rFonts w:ascii="Arial" w:hAnsi="Arial"/>
          <w:b/>
          <w:sz w:val="22"/>
          <w:szCs w:val="22"/>
        </w:rPr>
        <w:t xml:space="preserve">Supplement to the Group’s third </w:t>
      </w:r>
      <w:r w:rsidR="00A37573">
        <w:rPr>
          <w:rFonts w:ascii="Arial" w:hAnsi="Arial"/>
          <w:b/>
          <w:sz w:val="22"/>
          <w:szCs w:val="22"/>
        </w:rPr>
        <w:t>r</w:t>
      </w:r>
      <w:r>
        <w:rPr>
          <w:rFonts w:ascii="Arial" w:hAnsi="Arial"/>
          <w:b/>
          <w:sz w:val="22"/>
          <w:szCs w:val="22"/>
        </w:rPr>
        <w:t>eport</w:t>
      </w:r>
    </w:p>
    <w:p w:rsidR="00414D81" w:rsidRPr="00700C3B" w:rsidRDefault="00700C3B" w:rsidP="005077E5">
      <w:pPr>
        <w:widowControl w:val="0"/>
        <w:numPr>
          <w:ilvl w:val="0"/>
          <w:numId w:val="1"/>
        </w:numPr>
        <w:spacing w:line="312" w:lineRule="auto"/>
        <w:ind w:right="282"/>
        <w:rPr>
          <w:rFonts w:ascii="Arial" w:eastAsia="Calibri" w:hAnsi="Arial" w:cs="Arial"/>
          <w:b/>
          <w:sz w:val="22"/>
          <w:szCs w:val="22"/>
        </w:rPr>
      </w:pPr>
      <w:r>
        <w:rPr>
          <w:rFonts w:ascii="Arial" w:hAnsi="Arial"/>
          <w:b/>
          <w:sz w:val="22"/>
          <w:szCs w:val="22"/>
        </w:rPr>
        <w:t>Change to the reporting cycle</w:t>
      </w:r>
    </w:p>
    <w:p w:rsidR="00EF493E" w:rsidRPr="00661400" w:rsidRDefault="00EF493E" w:rsidP="005077E5">
      <w:pPr>
        <w:widowControl w:val="0"/>
        <w:spacing w:line="312" w:lineRule="auto"/>
        <w:ind w:left="720" w:right="282"/>
        <w:rPr>
          <w:rFonts w:ascii="Arial" w:eastAsia="Calibri" w:hAnsi="Arial" w:cs="Arial"/>
          <w:b/>
          <w:sz w:val="18"/>
          <w:szCs w:val="18"/>
          <w:lang w:val="en-US" w:eastAsia="en-US"/>
        </w:rPr>
      </w:pPr>
    </w:p>
    <w:p w:rsidR="00700C3B" w:rsidRDefault="00C541AF" w:rsidP="005077E5">
      <w:pPr>
        <w:widowControl w:val="0"/>
        <w:spacing w:line="312" w:lineRule="auto"/>
        <w:ind w:right="282"/>
        <w:rPr>
          <w:rFonts w:ascii="Arial" w:eastAsia="Calibri" w:hAnsi="Arial" w:cs="Arial"/>
          <w:b/>
          <w:sz w:val="22"/>
          <w:szCs w:val="22"/>
        </w:rPr>
      </w:pPr>
      <w:r>
        <w:rPr>
          <w:rFonts w:ascii="Arial" w:hAnsi="Arial"/>
          <w:b/>
          <w:sz w:val="22"/>
          <w:szCs w:val="22"/>
        </w:rPr>
        <w:t xml:space="preserve">Amsterdam, </w:t>
      </w:r>
      <w:r w:rsidR="004F07D9">
        <w:rPr>
          <w:rFonts w:ascii="Arial" w:hAnsi="Arial"/>
          <w:b/>
          <w:sz w:val="22"/>
          <w:szCs w:val="22"/>
        </w:rPr>
        <w:t>6 December</w:t>
      </w:r>
      <w:r>
        <w:rPr>
          <w:rFonts w:ascii="Arial" w:hAnsi="Arial"/>
          <w:b/>
          <w:sz w:val="22"/>
          <w:szCs w:val="22"/>
        </w:rPr>
        <w:t xml:space="preserve"> 2018. The GLS Group has released a report on its economic, environmental and social activities in the 2017/18 financial year. </w:t>
      </w:r>
    </w:p>
    <w:p w:rsidR="004856C9" w:rsidRDefault="004856C9" w:rsidP="005077E5">
      <w:pPr>
        <w:widowControl w:val="0"/>
        <w:spacing w:line="312" w:lineRule="auto"/>
        <w:ind w:right="282"/>
        <w:rPr>
          <w:rFonts w:ascii="Arial" w:eastAsia="Calibri" w:hAnsi="Arial" w:cs="Arial"/>
          <w:b/>
          <w:sz w:val="22"/>
          <w:szCs w:val="22"/>
          <w:lang w:eastAsia="en-US"/>
        </w:rPr>
      </w:pPr>
    </w:p>
    <w:p w:rsidR="00984FAE" w:rsidRDefault="00700C3B" w:rsidP="005077E5">
      <w:pPr>
        <w:widowControl w:val="0"/>
        <w:spacing w:line="312" w:lineRule="auto"/>
        <w:ind w:right="282"/>
        <w:rPr>
          <w:rFonts w:ascii="Arial" w:eastAsia="Calibri" w:hAnsi="Arial" w:cs="Arial"/>
          <w:sz w:val="22"/>
          <w:szCs w:val="22"/>
        </w:rPr>
      </w:pPr>
      <w:r>
        <w:rPr>
          <w:rFonts w:ascii="Arial" w:hAnsi="Arial"/>
          <w:sz w:val="22"/>
          <w:szCs w:val="22"/>
        </w:rPr>
        <w:t xml:space="preserve">The report supplements the </w:t>
      </w:r>
      <w:r w:rsidR="00A37573">
        <w:rPr>
          <w:rFonts w:ascii="Arial" w:hAnsi="Arial"/>
          <w:sz w:val="22"/>
          <w:szCs w:val="22"/>
        </w:rPr>
        <w:t>comprehensive</w:t>
      </w:r>
      <w:r>
        <w:rPr>
          <w:rFonts w:ascii="Arial" w:hAnsi="Arial"/>
          <w:sz w:val="22"/>
          <w:szCs w:val="22"/>
        </w:rPr>
        <w:t xml:space="preserve"> third GLS </w:t>
      </w:r>
      <w:r w:rsidR="00A37573">
        <w:rPr>
          <w:rFonts w:ascii="Arial" w:hAnsi="Arial"/>
          <w:sz w:val="22"/>
          <w:szCs w:val="22"/>
        </w:rPr>
        <w:t>s</w:t>
      </w:r>
      <w:r>
        <w:rPr>
          <w:rFonts w:ascii="Arial" w:hAnsi="Arial"/>
          <w:sz w:val="22"/>
          <w:szCs w:val="22"/>
        </w:rPr>
        <w:t xml:space="preserve">ustainability </w:t>
      </w:r>
      <w:r w:rsidR="00A37573">
        <w:rPr>
          <w:rFonts w:ascii="Arial" w:hAnsi="Arial"/>
          <w:sz w:val="22"/>
          <w:szCs w:val="22"/>
        </w:rPr>
        <w:t>r</w:t>
      </w:r>
      <w:r>
        <w:rPr>
          <w:rFonts w:ascii="Arial" w:hAnsi="Arial"/>
          <w:sz w:val="22"/>
          <w:szCs w:val="22"/>
        </w:rPr>
        <w:t>eport, which was published this March for the 2015/16 and 2016/17 financial years. “In this update, we have compiled information on relevant topics in order to offer an insight into the developments of the previous financial year,” explains Anne Putz, Head of Communication and Marketing GLS Group.</w:t>
      </w:r>
    </w:p>
    <w:p w:rsidR="00075F02" w:rsidRDefault="00075F02" w:rsidP="005077E5">
      <w:pPr>
        <w:widowControl w:val="0"/>
        <w:spacing w:line="312" w:lineRule="auto"/>
        <w:ind w:right="282"/>
        <w:rPr>
          <w:rFonts w:ascii="Arial" w:eastAsia="Calibri" w:hAnsi="Arial" w:cs="Arial"/>
          <w:sz w:val="22"/>
          <w:szCs w:val="22"/>
          <w:lang w:eastAsia="en-US"/>
        </w:rPr>
      </w:pPr>
    </w:p>
    <w:p w:rsidR="00075F02" w:rsidRDefault="00075F02" w:rsidP="005077E5">
      <w:pPr>
        <w:widowControl w:val="0"/>
        <w:spacing w:line="312" w:lineRule="auto"/>
        <w:ind w:right="282"/>
        <w:rPr>
          <w:rFonts w:ascii="Arial" w:eastAsia="Calibri" w:hAnsi="Arial" w:cs="Arial"/>
          <w:sz w:val="22"/>
          <w:szCs w:val="22"/>
        </w:rPr>
      </w:pPr>
      <w:r>
        <w:rPr>
          <w:rFonts w:ascii="Arial" w:hAnsi="Arial"/>
          <w:sz w:val="22"/>
          <w:szCs w:val="22"/>
        </w:rPr>
        <w:t xml:space="preserve">This includes information on the expansion of the GLS network, </w:t>
      </w:r>
      <w:proofErr w:type="spellStart"/>
      <w:r>
        <w:rPr>
          <w:rFonts w:ascii="Arial" w:hAnsi="Arial"/>
          <w:sz w:val="22"/>
          <w:szCs w:val="22"/>
        </w:rPr>
        <w:t>ThinkGreen</w:t>
      </w:r>
      <w:proofErr w:type="spellEnd"/>
      <w:r>
        <w:rPr>
          <w:rFonts w:ascii="Arial" w:hAnsi="Arial"/>
          <w:sz w:val="22"/>
          <w:szCs w:val="22"/>
        </w:rPr>
        <w:t xml:space="preserve"> activities, and social projects at national subsidiaries. The report also outlines progress in the areas of urban logistics and eco-friendly parcel logistics. </w:t>
      </w:r>
    </w:p>
    <w:p w:rsidR="00992DAC" w:rsidRDefault="00992DAC" w:rsidP="005077E5">
      <w:pPr>
        <w:widowControl w:val="0"/>
        <w:spacing w:line="312" w:lineRule="auto"/>
        <w:ind w:right="282"/>
        <w:rPr>
          <w:rFonts w:ascii="Arial" w:eastAsia="Calibri" w:hAnsi="Arial" w:cs="Arial"/>
          <w:sz w:val="22"/>
          <w:szCs w:val="22"/>
          <w:lang w:eastAsia="en-US"/>
        </w:rPr>
      </w:pPr>
    </w:p>
    <w:p w:rsidR="009643B4" w:rsidRDefault="00984FAE" w:rsidP="005077E5">
      <w:pPr>
        <w:widowControl w:val="0"/>
        <w:spacing w:line="312" w:lineRule="auto"/>
        <w:ind w:right="282"/>
        <w:rPr>
          <w:rFonts w:ascii="Arial" w:eastAsia="Calibri" w:hAnsi="Arial" w:cs="Arial"/>
          <w:sz w:val="22"/>
          <w:szCs w:val="22"/>
        </w:rPr>
      </w:pPr>
      <w:r>
        <w:rPr>
          <w:rFonts w:ascii="Arial" w:hAnsi="Arial"/>
          <w:sz w:val="22"/>
          <w:szCs w:val="22"/>
        </w:rPr>
        <w:t xml:space="preserve">With the introduction of the update, GLS is changing its reporting cycle. In future, relevant information will be published on an annual basis in between the detailed reports, which appear every two years and which comply with the guidelines of the Global Reporting Initiative (GRI). The fourth detailed </w:t>
      </w:r>
      <w:r w:rsidR="00A37573">
        <w:rPr>
          <w:rFonts w:ascii="Arial" w:hAnsi="Arial"/>
          <w:sz w:val="22"/>
          <w:szCs w:val="22"/>
        </w:rPr>
        <w:t>s</w:t>
      </w:r>
      <w:r>
        <w:rPr>
          <w:rFonts w:ascii="Arial" w:hAnsi="Arial"/>
          <w:sz w:val="22"/>
          <w:szCs w:val="22"/>
        </w:rPr>
        <w:t xml:space="preserve">ustainability </w:t>
      </w:r>
      <w:r w:rsidR="00A37573">
        <w:rPr>
          <w:rFonts w:ascii="Arial" w:hAnsi="Arial"/>
          <w:sz w:val="22"/>
          <w:szCs w:val="22"/>
        </w:rPr>
        <w:t>r</w:t>
      </w:r>
      <w:r>
        <w:rPr>
          <w:rFonts w:ascii="Arial" w:hAnsi="Arial"/>
          <w:sz w:val="22"/>
          <w:szCs w:val="22"/>
        </w:rPr>
        <w:t xml:space="preserve">eport is planned for the 2019/20 financial year. </w:t>
      </w:r>
    </w:p>
    <w:p w:rsidR="009F6485" w:rsidRDefault="009F6485" w:rsidP="005077E5">
      <w:pPr>
        <w:widowControl w:val="0"/>
        <w:spacing w:line="312" w:lineRule="auto"/>
        <w:ind w:right="282"/>
        <w:rPr>
          <w:rFonts w:ascii="Arial" w:eastAsia="Calibri" w:hAnsi="Arial" w:cs="Arial"/>
          <w:sz w:val="22"/>
          <w:szCs w:val="22"/>
          <w:lang w:eastAsia="en-US"/>
        </w:rPr>
      </w:pPr>
    </w:p>
    <w:p w:rsidR="004342CD" w:rsidRPr="00532785" w:rsidRDefault="00992DAC" w:rsidP="005077E5">
      <w:pPr>
        <w:spacing w:line="312" w:lineRule="auto"/>
        <w:ind w:right="282"/>
        <w:rPr>
          <w:rFonts w:ascii="Arial" w:hAnsi="Arial" w:cs="Arial"/>
          <w:sz w:val="22"/>
          <w:szCs w:val="22"/>
        </w:rPr>
      </w:pPr>
      <w:r>
        <w:rPr>
          <w:rFonts w:ascii="Arial" w:hAnsi="Arial"/>
          <w:sz w:val="22"/>
          <w:szCs w:val="22"/>
        </w:rPr>
        <w:t xml:space="preserve">The update and the third </w:t>
      </w:r>
      <w:r w:rsidR="00A37573">
        <w:rPr>
          <w:rFonts w:ascii="Arial" w:hAnsi="Arial"/>
          <w:sz w:val="22"/>
          <w:szCs w:val="22"/>
        </w:rPr>
        <w:t>s</w:t>
      </w:r>
      <w:r>
        <w:rPr>
          <w:rFonts w:ascii="Arial" w:hAnsi="Arial"/>
          <w:sz w:val="22"/>
          <w:szCs w:val="22"/>
        </w:rPr>
        <w:t xml:space="preserve">ustainability </w:t>
      </w:r>
      <w:r w:rsidR="00A37573">
        <w:rPr>
          <w:rFonts w:ascii="Arial" w:hAnsi="Arial"/>
          <w:sz w:val="22"/>
          <w:szCs w:val="22"/>
        </w:rPr>
        <w:t>r</w:t>
      </w:r>
      <w:r>
        <w:rPr>
          <w:rFonts w:ascii="Arial" w:hAnsi="Arial"/>
          <w:sz w:val="22"/>
          <w:szCs w:val="22"/>
        </w:rPr>
        <w:t xml:space="preserve">eport are available to read on the </w:t>
      </w:r>
      <w:r w:rsidR="005077E5">
        <w:rPr>
          <w:rFonts w:ascii="Arial" w:hAnsi="Arial"/>
          <w:sz w:val="22"/>
          <w:szCs w:val="22"/>
        </w:rPr>
        <w:br/>
      </w:r>
      <w:hyperlink r:id="rId7" w:history="1">
        <w:r>
          <w:rPr>
            <w:rStyle w:val="Hyperlink"/>
            <w:rFonts w:ascii="Arial" w:hAnsi="Arial"/>
            <w:sz w:val="22"/>
            <w:szCs w:val="22"/>
          </w:rPr>
          <w:t>GLS website</w:t>
        </w:r>
      </w:hyperlink>
      <w:r>
        <w:rPr>
          <w:rFonts w:ascii="Arial" w:hAnsi="Arial"/>
          <w:sz w:val="22"/>
          <w:szCs w:val="22"/>
        </w:rPr>
        <w:t>.</w:t>
      </w:r>
    </w:p>
    <w:p w:rsidR="004342CD" w:rsidRPr="00C62DFF" w:rsidRDefault="004342CD" w:rsidP="004342CD">
      <w:pPr>
        <w:pStyle w:val="KeinLeerraum"/>
        <w:spacing w:line="312" w:lineRule="auto"/>
        <w:rPr>
          <w:rFonts w:ascii="Arial" w:hAnsi="Arial" w:cs="Arial"/>
          <w:b/>
          <w:bCs/>
          <w:i/>
          <w:lang w:eastAsia="de-DE"/>
        </w:rPr>
      </w:pPr>
    </w:p>
    <w:p w:rsidR="004342CD" w:rsidRPr="00C62DFF" w:rsidRDefault="004342CD" w:rsidP="004342CD">
      <w:pPr>
        <w:autoSpaceDE w:val="0"/>
        <w:autoSpaceDN w:val="0"/>
        <w:adjustRightInd w:val="0"/>
        <w:ind w:right="-33"/>
        <w:rPr>
          <w:rFonts w:ascii="Arial" w:hAnsi="Arial" w:cs="Arial"/>
          <w:color w:val="000000"/>
          <w:lang w:eastAsia="de-DE"/>
        </w:rPr>
      </w:pPr>
    </w:p>
    <w:p w:rsidR="00FB6847" w:rsidRPr="006C323D" w:rsidRDefault="00FB6847" w:rsidP="006C323D">
      <w:pPr>
        <w:suppressAutoHyphens w:val="0"/>
        <w:rPr>
          <w:rFonts w:ascii="Arial" w:hAnsi="Arial" w:cs="Arial"/>
          <w:b/>
          <w:i/>
        </w:rPr>
      </w:pPr>
    </w:p>
    <w:p w:rsidR="00A37573" w:rsidRPr="00076855" w:rsidRDefault="00A37573" w:rsidP="00A37573">
      <w:pPr>
        <w:autoSpaceDE w:val="0"/>
        <w:autoSpaceDN w:val="0"/>
        <w:adjustRightInd w:val="0"/>
        <w:spacing w:line="312" w:lineRule="auto"/>
        <w:rPr>
          <w:rFonts w:ascii="Arial" w:hAnsi="Arial" w:cs="Arial"/>
          <w:b/>
          <w:i/>
          <w:sz w:val="22"/>
          <w:szCs w:val="22"/>
        </w:rPr>
      </w:pPr>
      <w:bookmarkStart w:id="0" w:name="_GoBack"/>
      <w:bookmarkEnd w:id="0"/>
      <w:r w:rsidRPr="00076855">
        <w:rPr>
          <w:rFonts w:ascii="Arial" w:hAnsi="Arial" w:cs="Arial"/>
          <w:b/>
          <w:i/>
          <w:sz w:val="22"/>
          <w:szCs w:val="22"/>
        </w:rPr>
        <w:t xml:space="preserve">The GLS Group </w:t>
      </w:r>
    </w:p>
    <w:p w:rsidR="00A37573" w:rsidRPr="00076855" w:rsidRDefault="00A37573" w:rsidP="00A37573">
      <w:pPr>
        <w:autoSpaceDE w:val="0"/>
        <w:autoSpaceDN w:val="0"/>
        <w:adjustRightInd w:val="0"/>
        <w:spacing w:line="312" w:lineRule="auto"/>
        <w:rPr>
          <w:rFonts w:ascii="Arial" w:hAnsi="Arial" w:cs="Arial"/>
          <w:sz w:val="22"/>
          <w:szCs w:val="22"/>
        </w:rPr>
      </w:pPr>
    </w:p>
    <w:p w:rsidR="00A37573" w:rsidRPr="00076855" w:rsidRDefault="00A37573" w:rsidP="00A37573">
      <w:pPr>
        <w:autoSpaceDE w:val="0"/>
        <w:autoSpaceDN w:val="0"/>
        <w:adjustRightInd w:val="0"/>
        <w:spacing w:line="312" w:lineRule="auto"/>
        <w:ind w:right="425"/>
        <w:rPr>
          <w:rFonts w:ascii="Arial" w:hAnsi="Arial" w:cs="Arial"/>
        </w:rPr>
      </w:pPr>
      <w:r w:rsidRPr="00076855">
        <w:rPr>
          <w:rFonts w:ascii="Arial" w:hAnsi="Arial" w:cs="Arial"/>
        </w:rPr>
        <w:t xml:space="preserve">GLS, General Logistics Systems B.V. (headquartered in Amsterdam), realises reliable, high-quality parcel services for over 270,000 customers, complemented by logistics and express services. “Quality leader in European parcel logistics” is GLS’ guiding principle, sustainability being one of the core values. Through wholly owned and partner </w:t>
      </w:r>
      <w:r w:rsidRPr="00076855">
        <w:rPr>
          <w:rFonts w:ascii="Arial" w:hAnsi="Arial" w:cs="Arial"/>
        </w:rPr>
        <w:lastRenderedPageBreak/>
        <w:t xml:space="preserve">companies, the Group provides a network coverage of 41 European states. GLS is also present in eight U.S. states and in Canada, and is globally connected via contractual agreements. About 50 central transhipment points and more than 1,000 depots and agencies are at GLS’ disposal. With its </w:t>
      </w:r>
      <w:proofErr w:type="gramStart"/>
      <w:r w:rsidRPr="00076855">
        <w:rPr>
          <w:rFonts w:ascii="Arial" w:hAnsi="Arial" w:cs="Arial"/>
        </w:rPr>
        <w:t>ground based</w:t>
      </w:r>
      <w:proofErr w:type="gramEnd"/>
      <w:r w:rsidRPr="00076855">
        <w:rPr>
          <w:rFonts w:ascii="Arial" w:hAnsi="Arial" w:cs="Arial"/>
        </w:rPr>
        <w:t xml:space="preserve"> network GLS is one of the leading parcel service providers in Europe. GLS counts 18,000 employees and every day around 30,000 vehicles are on route for GLS. In the financial year 2017/18 GLS achieved revenues of 2.9 billion euros and transported 584 million parcels.</w:t>
      </w:r>
    </w:p>
    <w:p w:rsidR="00A37573" w:rsidRDefault="00A37573" w:rsidP="00A37573">
      <w:pPr>
        <w:widowControl w:val="0"/>
        <w:spacing w:line="264" w:lineRule="auto"/>
        <w:ind w:right="-2"/>
        <w:rPr>
          <w:rFonts w:ascii="Arial" w:hAnsi="Arial" w:cs="Arial"/>
          <w:b/>
          <w:bCs/>
          <w:i/>
        </w:rPr>
      </w:pPr>
    </w:p>
    <w:p w:rsidR="00A37573" w:rsidRPr="005077E5" w:rsidRDefault="00A37573" w:rsidP="00A37573">
      <w:pPr>
        <w:ind w:right="1557"/>
        <w:rPr>
          <w:rFonts w:ascii="Arial" w:hAnsi="Arial" w:cs="Arial"/>
          <w:sz w:val="22"/>
          <w:szCs w:val="22"/>
        </w:rPr>
      </w:pPr>
      <w:r w:rsidRPr="005077E5">
        <w:rPr>
          <w:rFonts w:ascii="Arial" w:hAnsi="Arial" w:cs="Arial"/>
          <w:bCs/>
          <w:sz w:val="22"/>
          <w:szCs w:val="22"/>
        </w:rPr>
        <w:t xml:space="preserve">More information: </w:t>
      </w:r>
      <w:hyperlink r:id="rId8" w:history="1">
        <w:r w:rsidRPr="005077E5">
          <w:rPr>
            <w:rStyle w:val="Hyperlink"/>
            <w:rFonts w:ascii="Arial" w:hAnsi="Arial" w:cs="Arial"/>
            <w:bCs/>
            <w:sz w:val="22"/>
            <w:szCs w:val="22"/>
          </w:rPr>
          <w:t>gls-group.eu</w:t>
        </w:r>
      </w:hyperlink>
    </w:p>
    <w:p w:rsidR="00AE5EDB" w:rsidRDefault="00AE5EDB" w:rsidP="00AE5EDB">
      <w:pPr>
        <w:widowControl w:val="0"/>
        <w:spacing w:line="312" w:lineRule="auto"/>
        <w:ind w:right="1"/>
        <w:rPr>
          <w:rFonts w:ascii="Arial" w:eastAsia="Calibri" w:hAnsi="Arial" w:cs="Arial"/>
          <w:sz w:val="22"/>
          <w:szCs w:val="22"/>
          <w:lang w:eastAsia="en-US"/>
        </w:rPr>
      </w:pPr>
    </w:p>
    <w:p w:rsidR="00AE5EDB" w:rsidRPr="00560151" w:rsidRDefault="00AE5EDB" w:rsidP="000A63EA">
      <w:pPr>
        <w:pStyle w:val="KeinLeerraum"/>
        <w:rPr>
          <w:rFonts w:ascii="Arial" w:hAnsi="Arial" w:cs="Arial"/>
        </w:rPr>
      </w:pPr>
    </w:p>
    <w:sectPr w:rsidR="00AE5EDB" w:rsidRPr="00560151" w:rsidSect="0022220E">
      <w:headerReference w:type="default" r:id="rId9"/>
      <w:pgSz w:w="11906" w:h="16838"/>
      <w:pgMar w:top="2268" w:right="2268" w:bottom="1134"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E69" w:rsidRDefault="00603E69" w:rsidP="00EF493E">
      <w:r>
        <w:separator/>
      </w:r>
    </w:p>
  </w:endnote>
  <w:endnote w:type="continuationSeparator" w:id="0">
    <w:p w:rsidR="00603E69" w:rsidRDefault="00603E69" w:rsidP="00EF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E69" w:rsidRDefault="00603E69" w:rsidP="00EF493E">
      <w:r>
        <w:separator/>
      </w:r>
    </w:p>
  </w:footnote>
  <w:footnote w:type="continuationSeparator" w:id="0">
    <w:p w:rsidR="00603E69" w:rsidRDefault="00603E69" w:rsidP="00EF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93E" w:rsidRDefault="003E5104" w:rsidP="00EF493E">
    <w:pPr>
      <w:pStyle w:val="Kopfzeile"/>
      <w:ind w:hanging="1134"/>
    </w:pPr>
    <w:r>
      <w:rPr>
        <w:noProof/>
      </w:rPr>
      <w:drawing>
        <wp:inline distT="0" distB="0" distL="0" distR="0" wp14:anchorId="762A9D8D" wp14:editId="5BEB16DE">
          <wp:extent cx="7219950" cy="914400"/>
          <wp:effectExtent l="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C0D07"/>
    <w:multiLevelType w:val="hybridMultilevel"/>
    <w:tmpl w:val="F20E8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464A71"/>
    <w:multiLevelType w:val="hybridMultilevel"/>
    <w:tmpl w:val="E1203F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AF"/>
    <w:rsid w:val="00004126"/>
    <w:rsid w:val="000363E2"/>
    <w:rsid w:val="00073E62"/>
    <w:rsid w:val="00075F02"/>
    <w:rsid w:val="00091925"/>
    <w:rsid w:val="000A63EA"/>
    <w:rsid w:val="000A708A"/>
    <w:rsid w:val="000B0078"/>
    <w:rsid w:val="000C4BC0"/>
    <w:rsid w:val="000D367D"/>
    <w:rsid w:val="000D6DC2"/>
    <w:rsid w:val="000E7D69"/>
    <w:rsid w:val="00100649"/>
    <w:rsid w:val="00123868"/>
    <w:rsid w:val="00123E52"/>
    <w:rsid w:val="001267D1"/>
    <w:rsid w:val="00154E4D"/>
    <w:rsid w:val="00180022"/>
    <w:rsid w:val="001837F5"/>
    <w:rsid w:val="001A0DCF"/>
    <w:rsid w:val="001A78BF"/>
    <w:rsid w:val="001B379C"/>
    <w:rsid w:val="001B47DC"/>
    <w:rsid w:val="001C34EE"/>
    <w:rsid w:val="001D44D2"/>
    <w:rsid w:val="001E6664"/>
    <w:rsid w:val="00200BDF"/>
    <w:rsid w:val="00206EE7"/>
    <w:rsid w:val="00207103"/>
    <w:rsid w:val="0022220E"/>
    <w:rsid w:val="0023715A"/>
    <w:rsid w:val="002541FE"/>
    <w:rsid w:val="00272CA1"/>
    <w:rsid w:val="0027431E"/>
    <w:rsid w:val="00292415"/>
    <w:rsid w:val="00292B74"/>
    <w:rsid w:val="002A0978"/>
    <w:rsid w:val="002C207C"/>
    <w:rsid w:val="002C3AA6"/>
    <w:rsid w:val="002C662E"/>
    <w:rsid w:val="002F608E"/>
    <w:rsid w:val="002F770F"/>
    <w:rsid w:val="003028B2"/>
    <w:rsid w:val="0033505A"/>
    <w:rsid w:val="00337A74"/>
    <w:rsid w:val="00387E68"/>
    <w:rsid w:val="003A1FB2"/>
    <w:rsid w:val="003B3F4F"/>
    <w:rsid w:val="003E5104"/>
    <w:rsid w:val="00410B92"/>
    <w:rsid w:val="00414D81"/>
    <w:rsid w:val="004342CD"/>
    <w:rsid w:val="00434318"/>
    <w:rsid w:val="004420D6"/>
    <w:rsid w:val="004459EB"/>
    <w:rsid w:val="004856C9"/>
    <w:rsid w:val="00486BD1"/>
    <w:rsid w:val="004B0DE8"/>
    <w:rsid w:val="004D4C44"/>
    <w:rsid w:val="004F07D9"/>
    <w:rsid w:val="00500A19"/>
    <w:rsid w:val="005077E5"/>
    <w:rsid w:val="0051063A"/>
    <w:rsid w:val="00515527"/>
    <w:rsid w:val="00524857"/>
    <w:rsid w:val="00560151"/>
    <w:rsid w:val="00566627"/>
    <w:rsid w:val="005B4D91"/>
    <w:rsid w:val="005B74EE"/>
    <w:rsid w:val="005C21F8"/>
    <w:rsid w:val="005E56B5"/>
    <w:rsid w:val="005E77CD"/>
    <w:rsid w:val="00603E69"/>
    <w:rsid w:val="00607386"/>
    <w:rsid w:val="00620338"/>
    <w:rsid w:val="00643214"/>
    <w:rsid w:val="006469BF"/>
    <w:rsid w:val="00647261"/>
    <w:rsid w:val="00661400"/>
    <w:rsid w:val="00695869"/>
    <w:rsid w:val="00697C22"/>
    <w:rsid w:val="006B789D"/>
    <w:rsid w:val="006C323D"/>
    <w:rsid w:val="006C3FD4"/>
    <w:rsid w:val="006D6077"/>
    <w:rsid w:val="006E388D"/>
    <w:rsid w:val="006F23FC"/>
    <w:rsid w:val="00700C3B"/>
    <w:rsid w:val="007418A9"/>
    <w:rsid w:val="00745DC0"/>
    <w:rsid w:val="007520F2"/>
    <w:rsid w:val="007620E5"/>
    <w:rsid w:val="007659BD"/>
    <w:rsid w:val="00785ADA"/>
    <w:rsid w:val="007A7AF0"/>
    <w:rsid w:val="007B2AB9"/>
    <w:rsid w:val="007B416C"/>
    <w:rsid w:val="007B7DE2"/>
    <w:rsid w:val="007D23A7"/>
    <w:rsid w:val="00846E1C"/>
    <w:rsid w:val="00856A55"/>
    <w:rsid w:val="00872C70"/>
    <w:rsid w:val="00885F78"/>
    <w:rsid w:val="008B00EE"/>
    <w:rsid w:val="008C23BC"/>
    <w:rsid w:val="008D6002"/>
    <w:rsid w:val="008E6193"/>
    <w:rsid w:val="009212D4"/>
    <w:rsid w:val="00921FF4"/>
    <w:rsid w:val="009239D7"/>
    <w:rsid w:val="00925B4C"/>
    <w:rsid w:val="009643B4"/>
    <w:rsid w:val="00984FAE"/>
    <w:rsid w:val="00992DAC"/>
    <w:rsid w:val="009C69FE"/>
    <w:rsid w:val="009D2A31"/>
    <w:rsid w:val="009F24A8"/>
    <w:rsid w:val="009F6485"/>
    <w:rsid w:val="00A06934"/>
    <w:rsid w:val="00A158B5"/>
    <w:rsid w:val="00A16358"/>
    <w:rsid w:val="00A1641E"/>
    <w:rsid w:val="00A207D9"/>
    <w:rsid w:val="00A2187B"/>
    <w:rsid w:val="00A2210D"/>
    <w:rsid w:val="00A24103"/>
    <w:rsid w:val="00A37573"/>
    <w:rsid w:val="00A477FB"/>
    <w:rsid w:val="00AD23FE"/>
    <w:rsid w:val="00AE5EDB"/>
    <w:rsid w:val="00B02390"/>
    <w:rsid w:val="00B02DD0"/>
    <w:rsid w:val="00B0726C"/>
    <w:rsid w:val="00B17784"/>
    <w:rsid w:val="00B95399"/>
    <w:rsid w:val="00BB07DA"/>
    <w:rsid w:val="00BF349A"/>
    <w:rsid w:val="00C229CA"/>
    <w:rsid w:val="00C46A9B"/>
    <w:rsid w:val="00C52E44"/>
    <w:rsid w:val="00C541AF"/>
    <w:rsid w:val="00C60CAE"/>
    <w:rsid w:val="00C627F6"/>
    <w:rsid w:val="00C62DFF"/>
    <w:rsid w:val="00C65E5E"/>
    <w:rsid w:val="00C66E03"/>
    <w:rsid w:val="00C75328"/>
    <w:rsid w:val="00C946E6"/>
    <w:rsid w:val="00CA549A"/>
    <w:rsid w:val="00CB468A"/>
    <w:rsid w:val="00CC5B6A"/>
    <w:rsid w:val="00CD5EA3"/>
    <w:rsid w:val="00D2046D"/>
    <w:rsid w:val="00D23E5D"/>
    <w:rsid w:val="00D60E04"/>
    <w:rsid w:val="00D6469E"/>
    <w:rsid w:val="00D70730"/>
    <w:rsid w:val="00DA046E"/>
    <w:rsid w:val="00DA1CB3"/>
    <w:rsid w:val="00DC4FD6"/>
    <w:rsid w:val="00DC67B8"/>
    <w:rsid w:val="00DE5745"/>
    <w:rsid w:val="00DF5C22"/>
    <w:rsid w:val="00E13828"/>
    <w:rsid w:val="00E30BE3"/>
    <w:rsid w:val="00E31A49"/>
    <w:rsid w:val="00E37C64"/>
    <w:rsid w:val="00E4733A"/>
    <w:rsid w:val="00E72DC3"/>
    <w:rsid w:val="00EB0BC7"/>
    <w:rsid w:val="00EB58C9"/>
    <w:rsid w:val="00EF493E"/>
    <w:rsid w:val="00F1643A"/>
    <w:rsid w:val="00F205EB"/>
    <w:rsid w:val="00F26F24"/>
    <w:rsid w:val="00F34DE7"/>
    <w:rsid w:val="00F5764E"/>
    <w:rsid w:val="00F64ADC"/>
    <w:rsid w:val="00FA3358"/>
    <w:rsid w:val="00FB2E6B"/>
    <w:rsid w:val="00FB6847"/>
    <w:rsid w:val="00FD14BC"/>
    <w:rsid w:val="00FD15E1"/>
    <w:rsid w:val="00FE0A0F"/>
    <w:rsid w:val="00FE3639"/>
    <w:rsid w:val="00FE52EA"/>
    <w:rsid w:val="00FE7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37B86"/>
  <w15:chartTrackingRefBased/>
  <w15:docId w15:val="{241ABE9E-525E-4DAA-A9BC-B0054808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493E"/>
    <w:pPr>
      <w:suppressAutoHyphens/>
    </w:pPr>
    <w:rPr>
      <w:rFonts w:ascii="Times New Roman" w:eastAsia="Times New Roman" w:hAnsi="Times New Roman"/>
      <w:color w:val="00000A"/>
      <w:lang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93E"/>
    <w:pPr>
      <w:tabs>
        <w:tab w:val="center" w:pos="4536"/>
        <w:tab w:val="right" w:pos="9072"/>
      </w:tabs>
    </w:pPr>
  </w:style>
  <w:style w:type="character" w:customStyle="1" w:styleId="KopfzeileZchn">
    <w:name w:val="Kopfzeile Zchn"/>
    <w:basedOn w:val="Absatz-Standardschriftart"/>
    <w:link w:val="Kopfzeile"/>
    <w:uiPriority w:val="99"/>
    <w:rsid w:val="00EF493E"/>
  </w:style>
  <w:style w:type="paragraph" w:styleId="Fuzeile">
    <w:name w:val="footer"/>
    <w:basedOn w:val="Standard"/>
    <w:link w:val="FuzeileZchn"/>
    <w:uiPriority w:val="99"/>
    <w:unhideWhenUsed/>
    <w:rsid w:val="00EF493E"/>
    <w:pPr>
      <w:tabs>
        <w:tab w:val="center" w:pos="4536"/>
        <w:tab w:val="right" w:pos="9072"/>
      </w:tabs>
    </w:pPr>
  </w:style>
  <w:style w:type="character" w:customStyle="1" w:styleId="FuzeileZchn">
    <w:name w:val="Fußzeile Zchn"/>
    <w:basedOn w:val="Absatz-Standardschriftart"/>
    <w:link w:val="Fuzeile"/>
    <w:uiPriority w:val="99"/>
    <w:rsid w:val="00EF493E"/>
  </w:style>
  <w:style w:type="paragraph" w:styleId="Sprechblasentext">
    <w:name w:val="Balloon Text"/>
    <w:basedOn w:val="Standard"/>
    <w:link w:val="SprechblasentextZchn"/>
    <w:uiPriority w:val="99"/>
    <w:semiHidden/>
    <w:unhideWhenUsed/>
    <w:rsid w:val="00EF493E"/>
    <w:rPr>
      <w:rFonts w:ascii="Segoe UI" w:hAnsi="Segoe UI" w:cs="Segoe UI"/>
      <w:sz w:val="18"/>
      <w:szCs w:val="18"/>
    </w:rPr>
  </w:style>
  <w:style w:type="character" w:customStyle="1" w:styleId="SprechblasentextZchn">
    <w:name w:val="Sprechblasentext Zchn"/>
    <w:link w:val="Sprechblasentext"/>
    <w:uiPriority w:val="99"/>
    <w:semiHidden/>
    <w:rsid w:val="00EF493E"/>
    <w:rPr>
      <w:rFonts w:ascii="Segoe UI" w:hAnsi="Segoe UI" w:cs="Segoe UI"/>
      <w:sz w:val="18"/>
      <w:szCs w:val="18"/>
    </w:rPr>
  </w:style>
  <w:style w:type="paragraph" w:styleId="KeinLeerraum">
    <w:name w:val="No Spacing"/>
    <w:uiPriority w:val="1"/>
    <w:qFormat/>
    <w:rsid w:val="00EF493E"/>
    <w:rPr>
      <w:sz w:val="22"/>
      <w:szCs w:val="22"/>
      <w:lang w:eastAsia="en-US"/>
    </w:rPr>
  </w:style>
  <w:style w:type="character" w:customStyle="1" w:styleId="KommentarthemaZchn">
    <w:name w:val="Kommentarthema Zchn"/>
    <w:link w:val="Kommentarthema"/>
    <w:uiPriority w:val="99"/>
    <w:semiHidden/>
    <w:rsid w:val="00EF493E"/>
    <w:rPr>
      <w:rFonts w:ascii="Times New Roman" w:eastAsia="Times New Roman" w:hAnsi="Times New Roman" w:cs="Times New Roman"/>
      <w:b/>
      <w:bCs/>
      <w:sz w:val="20"/>
      <w:szCs w:val="20"/>
      <w:lang w:eastAsia="da-DK"/>
    </w:rPr>
  </w:style>
  <w:style w:type="paragraph" w:styleId="Kommentartext">
    <w:name w:val="annotation text"/>
    <w:basedOn w:val="Standard"/>
    <w:link w:val="KommentartextZchn"/>
    <w:uiPriority w:val="99"/>
    <w:semiHidden/>
    <w:unhideWhenUsed/>
    <w:rsid w:val="00EF493E"/>
  </w:style>
  <w:style w:type="character" w:customStyle="1" w:styleId="KommentartextZchn">
    <w:name w:val="Kommentartext Zchn"/>
    <w:link w:val="Kommentartext"/>
    <w:uiPriority w:val="99"/>
    <w:semiHidden/>
    <w:rsid w:val="00EF493E"/>
    <w:rPr>
      <w:rFonts w:ascii="Times New Roman" w:eastAsia="Times New Roman" w:hAnsi="Times New Roman" w:cs="Times New Roman"/>
      <w:color w:val="00000A"/>
      <w:sz w:val="20"/>
      <w:szCs w:val="20"/>
      <w:lang w:eastAsia="da-DK"/>
    </w:rPr>
  </w:style>
  <w:style w:type="paragraph" w:styleId="Kommentarthema">
    <w:name w:val="annotation subject"/>
    <w:basedOn w:val="Kommentartext"/>
    <w:link w:val="KommentarthemaZchn"/>
    <w:uiPriority w:val="99"/>
    <w:semiHidden/>
    <w:unhideWhenUsed/>
    <w:rsid w:val="00EF493E"/>
    <w:rPr>
      <w:b/>
      <w:bCs/>
      <w:color w:val="auto"/>
    </w:rPr>
  </w:style>
  <w:style w:type="character" w:customStyle="1" w:styleId="KommentarthemaZchn1">
    <w:name w:val="Kommentarthema Zchn1"/>
    <w:uiPriority w:val="99"/>
    <w:semiHidden/>
    <w:rsid w:val="00EF493E"/>
    <w:rPr>
      <w:rFonts w:ascii="Times New Roman" w:eastAsia="Times New Roman" w:hAnsi="Times New Roman" w:cs="Times New Roman"/>
      <w:b/>
      <w:bCs/>
      <w:color w:val="00000A"/>
      <w:sz w:val="20"/>
      <w:szCs w:val="20"/>
      <w:lang w:eastAsia="da-DK"/>
    </w:rPr>
  </w:style>
  <w:style w:type="paragraph" w:styleId="Listenabsatz">
    <w:name w:val="List Paragraph"/>
    <w:basedOn w:val="Standard"/>
    <w:uiPriority w:val="34"/>
    <w:qFormat/>
    <w:rsid w:val="0033505A"/>
    <w:pPr>
      <w:ind w:left="720"/>
      <w:contextualSpacing/>
    </w:pPr>
  </w:style>
  <w:style w:type="character" w:styleId="Kommentarzeichen">
    <w:name w:val="annotation reference"/>
    <w:basedOn w:val="Absatz-Standardschriftart"/>
    <w:uiPriority w:val="99"/>
    <w:semiHidden/>
    <w:unhideWhenUsed/>
    <w:rsid w:val="00C62DFF"/>
    <w:rPr>
      <w:sz w:val="16"/>
      <w:szCs w:val="16"/>
    </w:rPr>
  </w:style>
  <w:style w:type="paragraph" w:styleId="NurText">
    <w:name w:val="Plain Text"/>
    <w:basedOn w:val="Standard"/>
    <w:link w:val="NurTextZchn"/>
    <w:uiPriority w:val="99"/>
    <w:unhideWhenUsed/>
    <w:rsid w:val="00434318"/>
    <w:pPr>
      <w:suppressAutoHyphens w:val="0"/>
    </w:pPr>
    <w:rPr>
      <w:rFonts w:ascii="Calibri" w:eastAsiaTheme="minorHAnsi" w:hAnsi="Calibri" w:cs="Calibri"/>
      <w:color w:val="auto"/>
      <w:sz w:val="22"/>
      <w:szCs w:val="22"/>
      <w:lang w:eastAsia="en-US"/>
    </w:rPr>
  </w:style>
  <w:style w:type="character" w:customStyle="1" w:styleId="NurTextZchn">
    <w:name w:val="Nur Text Zchn"/>
    <w:basedOn w:val="Absatz-Standardschriftart"/>
    <w:link w:val="NurText"/>
    <w:uiPriority w:val="99"/>
    <w:rsid w:val="00434318"/>
    <w:rPr>
      <w:rFonts w:eastAsiaTheme="minorHAnsi" w:cs="Calibri"/>
      <w:sz w:val="22"/>
      <w:szCs w:val="22"/>
      <w:lang w:eastAsia="en-US"/>
    </w:rPr>
  </w:style>
  <w:style w:type="character" w:styleId="Hyperlink">
    <w:name w:val="Hyperlink"/>
    <w:uiPriority w:val="99"/>
    <w:rsid w:val="00A1641E"/>
    <w:rPr>
      <w:color w:val="0000FF"/>
      <w:u w:val="single"/>
    </w:rPr>
  </w:style>
  <w:style w:type="character" w:customStyle="1" w:styleId="NichtaufgelsteErwhnung1">
    <w:name w:val="Nicht aufgelöste Erwähnung1"/>
    <w:basedOn w:val="Absatz-Standardschriftart"/>
    <w:uiPriority w:val="99"/>
    <w:semiHidden/>
    <w:unhideWhenUsed/>
    <w:rsid w:val="00CD5E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0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eu/EU/en/home" TargetMode="External"/><Relationship Id="rId3" Type="http://schemas.openxmlformats.org/officeDocument/2006/relationships/settings" Target="settings.xml"/><Relationship Id="rId7" Type="http://schemas.openxmlformats.org/officeDocument/2006/relationships/hyperlink" Target="https://gls-group.eu/EU/en/sustain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2465</CharactersWithSpaces>
  <SharedDoc>false</SharedDoc>
  <HLinks>
    <vt:vector size="12" baseType="variant">
      <vt:variant>
        <vt:i4>4587618</vt:i4>
      </vt:variant>
      <vt:variant>
        <vt:i4>3</vt:i4>
      </vt:variant>
      <vt:variant>
        <vt:i4>0</vt:i4>
      </vt:variant>
      <vt:variant>
        <vt:i4>5</vt:i4>
      </vt:variant>
      <vt:variant>
        <vt:lpwstr>mailto:mail@stroomer.de</vt:lpwstr>
      </vt:variant>
      <vt:variant>
        <vt:lpwstr/>
      </vt:variant>
      <vt:variant>
        <vt:i4>2555943</vt:i4>
      </vt:variant>
      <vt:variant>
        <vt:i4>0</vt:i4>
      </vt:variant>
      <vt:variant>
        <vt:i4>0</vt:i4>
      </vt:variant>
      <vt:variant>
        <vt:i4>5</vt:i4>
      </vt:variant>
      <vt:variant>
        <vt:lpwstr>https://gls-group.eu/DE/de/home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STROOMER</dc:creator>
  <cp:keywords/>
  <dc:description/>
  <cp:lastModifiedBy>STROOMER </cp:lastModifiedBy>
  <cp:revision>9</cp:revision>
  <cp:lastPrinted>2018-02-27T15:42:00Z</cp:lastPrinted>
  <dcterms:created xsi:type="dcterms:W3CDTF">2018-11-05T16:57:00Z</dcterms:created>
  <dcterms:modified xsi:type="dcterms:W3CDTF">2018-11-30T09:38:00Z</dcterms:modified>
</cp:coreProperties>
</file>